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79" w:rsidRDefault="00074879" w:rsidP="00074879">
      <w:pPr>
        <w:pStyle w:val="Titolo1"/>
        <w:shd w:val="clear" w:color="auto" w:fill="FFFFFF"/>
        <w:spacing w:before="0"/>
        <w:rPr>
          <w:rFonts w:ascii="Times New Roman" w:hAnsi="Times New Roman" w:cs="Times New Roman"/>
          <w:color w:val="333333"/>
          <w:sz w:val="52"/>
          <w:szCs w:val="52"/>
        </w:rPr>
      </w:pPr>
      <w:bookmarkStart w:id="0" w:name="_Liste_di_attesa"/>
      <w:bookmarkStart w:id="1" w:name="_Ref36040806"/>
      <w:bookmarkEnd w:id="0"/>
      <w:r w:rsidRPr="0004775A">
        <w:rPr>
          <w:rFonts w:ascii="Times New Roman" w:hAnsi="Times New Roman" w:cs="Times New Roman"/>
          <w:color w:val="333333"/>
          <w:sz w:val="52"/>
          <w:szCs w:val="52"/>
        </w:rPr>
        <w:t>Liste di attesa</w:t>
      </w:r>
    </w:p>
    <w:p w:rsidR="001A7027" w:rsidRPr="001A7027" w:rsidRDefault="001A7027" w:rsidP="001A7027">
      <w:pPr>
        <w:jc w:val="both"/>
        <w:rPr>
          <w:rFonts w:ascii="Times New Roman" w:hAnsi="Times New Roman" w:cs="Times New Roman"/>
          <w:sz w:val="24"/>
          <w:szCs w:val="24"/>
        </w:rPr>
      </w:pPr>
      <w:r w:rsidRPr="001A7027">
        <w:rPr>
          <w:rFonts w:ascii="Times New Roman" w:hAnsi="Times New Roman" w:cs="Times New Roman"/>
          <w:sz w:val="24"/>
          <w:szCs w:val="24"/>
        </w:rPr>
        <w:t xml:space="preserve">La normativa relativa alla gestione delle liste d’attesa fa riferimento al Piano nazionale di governo delle liste di attesa per il triennio 2019-2021 e al Piano regionale per il governo delle liste d’attesa 2019-2021, che la regione Friuli Venezia Giulia ha deliberato con DGR 1815 del 25/10/2019. </w:t>
      </w:r>
    </w:p>
    <w:p w:rsidR="00821714" w:rsidRDefault="00821714" w:rsidP="001A7027">
      <w:pPr>
        <w:jc w:val="both"/>
        <w:rPr>
          <w:rFonts w:ascii="Times New Roman" w:hAnsi="Times New Roman" w:cs="Times New Roman"/>
          <w:sz w:val="24"/>
          <w:szCs w:val="24"/>
        </w:rPr>
      </w:pPr>
      <w:r>
        <w:rPr>
          <w:rFonts w:ascii="Times New Roman" w:hAnsi="Times New Roman" w:cs="Times New Roman"/>
          <w:sz w:val="24"/>
          <w:szCs w:val="24"/>
        </w:rPr>
        <w:t>Con decreto ASUFC n.</w:t>
      </w:r>
      <w:r w:rsidR="001A7027" w:rsidRPr="001A7027">
        <w:rPr>
          <w:rFonts w:ascii="Times New Roman" w:hAnsi="Times New Roman" w:cs="Times New Roman"/>
          <w:sz w:val="24"/>
          <w:szCs w:val="24"/>
        </w:rPr>
        <w:t>197 del 28/02</w:t>
      </w:r>
      <w:r>
        <w:rPr>
          <w:rFonts w:ascii="Times New Roman" w:hAnsi="Times New Roman" w:cs="Times New Roman"/>
          <w:sz w:val="24"/>
          <w:szCs w:val="24"/>
        </w:rPr>
        <w:t>/2020 è stato approvato il Programma</w:t>
      </w:r>
      <w:r w:rsidR="001A7027" w:rsidRPr="001A7027">
        <w:rPr>
          <w:rFonts w:ascii="Times New Roman" w:hAnsi="Times New Roman" w:cs="Times New Roman"/>
          <w:sz w:val="24"/>
          <w:szCs w:val="24"/>
        </w:rPr>
        <w:t xml:space="preserve"> Attuativo Aziendale per l’anno 2020 con il quale sono state definite le modalità di monitoraggio dei tempi d’attesa, le linee di intervento per il contenimento dei tempi, le sedi di erogazione delle prestazioni. </w:t>
      </w:r>
    </w:p>
    <w:p w:rsidR="00821714" w:rsidRDefault="00821714" w:rsidP="00821714">
      <w:pPr>
        <w:numPr>
          <w:ilvl w:val="0"/>
          <w:numId w:val="6"/>
        </w:numPr>
        <w:spacing w:before="100" w:beforeAutospacing="1" w:after="300" w:line="300" w:lineRule="atLeast"/>
      </w:pPr>
      <w:r>
        <w:rPr>
          <w:rFonts w:ascii="Times New Roman" w:eastAsia="Times New Roman" w:hAnsi="Times New Roman" w:cs="Times New Roman"/>
          <w:sz w:val="24"/>
          <w:szCs w:val="24"/>
          <w:lang w:eastAsia="it-IT"/>
        </w:rPr>
        <w:t>Programma attuativo aziendale per il governo delle liste di attesa</w:t>
      </w:r>
      <w:r>
        <w:t> [pdf]</w:t>
      </w:r>
      <w:r w:rsidRPr="00E1319C">
        <w:rPr>
          <w:rStyle w:val="Enfasicorsivo"/>
          <w:sz w:val="19"/>
          <w:szCs w:val="19"/>
        </w:rPr>
        <w:t> (il link apre una nuova finestra)</w:t>
      </w:r>
      <w:r>
        <w:rPr>
          <w:rStyle w:val="Enfasicorsivo"/>
          <w:sz w:val="19"/>
          <w:szCs w:val="19"/>
        </w:rPr>
        <w:t xml:space="preserve"> già presente</w:t>
      </w:r>
    </w:p>
    <w:p w:rsidR="00074879" w:rsidRPr="0004775A" w:rsidRDefault="00074879" w:rsidP="00074879">
      <w:pPr>
        <w:pStyle w:val="Titolo2"/>
        <w:spacing w:after="300" w:afterAutospacing="0"/>
        <w:rPr>
          <w:b w:val="0"/>
          <w:bCs w:val="0"/>
          <w:color w:val="333333"/>
        </w:rPr>
      </w:pPr>
      <w:bookmarkStart w:id="2" w:name="_Criteri_di_formazione"/>
      <w:bookmarkEnd w:id="2"/>
      <w:r w:rsidRPr="0004775A">
        <w:rPr>
          <w:b w:val="0"/>
          <w:bCs w:val="0"/>
          <w:color w:val="333333"/>
        </w:rPr>
        <w:t>Criteri di formazione delle liste di attesa</w:t>
      </w:r>
    </w:p>
    <w:p w:rsidR="00726CA8" w:rsidRPr="00726CA8" w:rsidRDefault="00FC015E" w:rsidP="00726CA8">
      <w:pPr>
        <w:pStyle w:val="Paragrafoelenco"/>
        <w:numPr>
          <w:ilvl w:val="0"/>
          <w:numId w:val="10"/>
        </w:numPr>
        <w:spacing w:before="100" w:beforeAutospacing="1" w:after="300" w:line="300" w:lineRule="atLeast"/>
        <w:rPr>
          <w:rStyle w:val="Enfasicorsivo"/>
          <w:i w:val="0"/>
          <w:iCs w:val="0"/>
        </w:rPr>
      </w:pPr>
      <w:hyperlink w:anchor="_Criteri_di_formazione_1" w:history="1">
        <w:r w:rsidR="00726CA8" w:rsidRPr="00726CA8">
          <w:rPr>
            <w:rStyle w:val="Collegamentoipertestuale"/>
            <w:rFonts w:ascii="Times New Roman" w:hAnsi="Times New Roman" w:cs="Times New Roman"/>
            <w:sz w:val="24"/>
            <w:szCs w:val="24"/>
          </w:rPr>
          <w:t>Criteri di formazione delle liste di attesa ambulatoriali e di ricovero</w:t>
        </w:r>
      </w:hyperlink>
      <w:r w:rsidR="00726CA8" w:rsidRPr="00726CA8">
        <w:rPr>
          <w:rFonts w:ascii="Times New Roman" w:hAnsi="Times New Roman" w:cs="Times New Roman"/>
          <w:sz w:val="24"/>
          <w:szCs w:val="24"/>
        </w:rPr>
        <w:t xml:space="preserve"> </w:t>
      </w:r>
      <w:r w:rsidR="00074879" w:rsidRPr="00726CA8">
        <w:rPr>
          <w:rStyle w:val="Enfasicorsivo"/>
          <w:sz w:val="19"/>
          <w:szCs w:val="19"/>
        </w:rPr>
        <w:t>(il link apre una nuova finestra)</w:t>
      </w:r>
    </w:p>
    <w:p w:rsidR="00074879" w:rsidRPr="00726CA8" w:rsidRDefault="00FC015E" w:rsidP="00726CA8">
      <w:pPr>
        <w:pStyle w:val="Paragrafoelenco"/>
        <w:numPr>
          <w:ilvl w:val="0"/>
          <w:numId w:val="10"/>
        </w:numPr>
        <w:spacing w:before="100" w:beforeAutospacing="1" w:after="300" w:line="300" w:lineRule="atLeast"/>
        <w:rPr>
          <w:rStyle w:val="Enfasicorsivo"/>
          <w:i w:val="0"/>
          <w:iCs w:val="0"/>
        </w:rPr>
      </w:pPr>
      <w:hyperlink w:anchor="_Tempi_di_attesa" w:history="1">
        <w:r w:rsidR="00192977" w:rsidRPr="00192977">
          <w:rPr>
            <w:rStyle w:val="Collegamentoipertestuale"/>
          </w:rPr>
          <w:t xml:space="preserve">Prestazioni oggetto di monitoraggio previste </w:t>
        </w:r>
        <w:r w:rsidR="00726CA8" w:rsidRPr="00726CA8">
          <w:rPr>
            <w:rStyle w:val="Collegamentoipertestuale"/>
          </w:rPr>
          <w:t>dalla normativa nazionale/regionale</w:t>
        </w:r>
      </w:hyperlink>
      <w:r w:rsidR="00726CA8" w:rsidRPr="00726CA8">
        <w:rPr>
          <w:rStyle w:val="Enfasicorsivo"/>
          <w:i w:val="0"/>
          <w:iCs w:val="0"/>
        </w:rPr>
        <w:t xml:space="preserve"> (</w:t>
      </w:r>
      <w:r w:rsidR="00074879" w:rsidRPr="00726CA8">
        <w:rPr>
          <w:rStyle w:val="Enfasicorsivo"/>
          <w:sz w:val="19"/>
          <w:szCs w:val="19"/>
        </w:rPr>
        <w:t>il link apre una nuova finestra)</w:t>
      </w:r>
    </w:p>
    <w:p w:rsidR="00074879" w:rsidRPr="0004775A" w:rsidRDefault="00074879" w:rsidP="00074879">
      <w:pPr>
        <w:pStyle w:val="Titolo2"/>
        <w:spacing w:after="300" w:afterAutospacing="0"/>
        <w:rPr>
          <w:b w:val="0"/>
          <w:bCs w:val="0"/>
          <w:color w:val="333333"/>
        </w:rPr>
      </w:pPr>
      <w:r w:rsidRPr="0004775A">
        <w:rPr>
          <w:b w:val="0"/>
          <w:bCs w:val="0"/>
          <w:color w:val="333333"/>
        </w:rPr>
        <w:t>Verifica dei tempi di attesa</w:t>
      </w:r>
    </w:p>
    <w:p w:rsidR="00074879" w:rsidRPr="000E44B3" w:rsidRDefault="00074879" w:rsidP="000E44B3">
      <w:pPr>
        <w:jc w:val="both"/>
        <w:rPr>
          <w:rFonts w:ascii="Times New Roman" w:hAnsi="Times New Roman" w:cs="Times New Roman"/>
          <w:b/>
          <w:bCs/>
          <w:color w:val="333333"/>
          <w:sz w:val="24"/>
          <w:szCs w:val="24"/>
        </w:rPr>
      </w:pPr>
      <w:r w:rsidRPr="000E44B3">
        <w:rPr>
          <w:rFonts w:ascii="Times New Roman" w:hAnsi="Times New Roman" w:cs="Times New Roman"/>
          <w:sz w:val="24"/>
          <w:szCs w:val="24"/>
        </w:rPr>
        <w:t>I giorni di attesa effettivi sono rilevabili in tempo reale attraverso il collegamento al portale regionale.</w:t>
      </w:r>
    </w:p>
    <w:p w:rsidR="00074879" w:rsidRDefault="00074879" w:rsidP="00074879">
      <w:pPr>
        <w:numPr>
          <w:ilvl w:val="0"/>
          <w:numId w:val="7"/>
        </w:numPr>
        <w:spacing w:before="100" w:beforeAutospacing="1" w:after="300" w:line="300" w:lineRule="atLeast"/>
        <w:rPr>
          <w:rFonts w:ascii="Times New Roman" w:hAnsi="Times New Roman" w:cs="Times New Roman"/>
        </w:rPr>
      </w:pPr>
      <w:r>
        <w:t> </w:t>
      </w:r>
      <w:hyperlink r:id="rId6" w:anchor="/index" w:tooltip="Servizio Sanitario Regione FVG  - Verifica dei tempi di attesa e prenotazione (il link apre una nuova finestra)" w:history="1">
        <w:r>
          <w:rPr>
            <w:rStyle w:val="Collegamentoipertestuale"/>
            <w:color w:val="3A825C"/>
          </w:rPr>
          <w:t>Servizio Sanitario Regione FVG - Verifica dei tempi di attesa e prenotazione</w:t>
        </w:r>
      </w:hyperlink>
      <w:r>
        <w:t> </w:t>
      </w:r>
      <w:r>
        <w:rPr>
          <w:rStyle w:val="Enfasicorsivo"/>
          <w:sz w:val="19"/>
          <w:szCs w:val="19"/>
        </w:rPr>
        <w:t> (il link apre una nuova finestra)</w:t>
      </w:r>
    </w:p>
    <w:p w:rsidR="00074879" w:rsidRPr="0004775A" w:rsidRDefault="00074879" w:rsidP="00074879">
      <w:pPr>
        <w:pStyle w:val="Titolo2"/>
        <w:spacing w:after="300" w:afterAutospacing="0"/>
        <w:rPr>
          <w:b w:val="0"/>
          <w:bCs w:val="0"/>
          <w:color w:val="333333"/>
        </w:rPr>
      </w:pPr>
      <w:r w:rsidRPr="0004775A">
        <w:rPr>
          <w:b w:val="0"/>
          <w:bCs w:val="0"/>
          <w:color w:val="333333"/>
        </w:rPr>
        <w:t>Tempi medi effettivi di attesa - rilevazioni mensili</w:t>
      </w:r>
    </w:p>
    <w:p w:rsidR="00074879" w:rsidRDefault="00074879" w:rsidP="00074879">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4E4F55">
        <w:rPr>
          <w:rFonts w:ascii="Times New Roman" w:eastAsia="Times New Roman" w:hAnsi="Times New Roman" w:cs="Times New Roman"/>
          <w:i/>
          <w:sz w:val="24"/>
          <w:szCs w:val="24"/>
          <w:lang w:eastAsia="it-IT"/>
        </w:rPr>
        <w:t>Ai fini del monitoraggio dei tempi di attesa delle prestazioni ambulatoriali sono prese in considerazione esclusivamente le prime visite e le prime prestazioni diagnostico-terapeutiche, ovvero quelle che rappresentano il primo contatto del paziente con il sistema relativamente al problema di salute posto</w:t>
      </w:r>
      <w:r w:rsidR="000E44B3">
        <w:rPr>
          <w:rFonts w:ascii="Times New Roman" w:eastAsia="Times New Roman" w:hAnsi="Times New Roman" w:cs="Times New Roman"/>
          <w:sz w:val="24"/>
          <w:szCs w:val="24"/>
          <w:lang w:eastAsia="it-IT"/>
        </w:rPr>
        <w:t>”</w:t>
      </w:r>
    </w:p>
    <w:p w:rsidR="00074879" w:rsidRDefault="00074879" w:rsidP="00074879">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individuate dal Piano Nazionale per il Governo delle Liste di Attesa 2019-2021.</w:t>
      </w:r>
    </w:p>
    <w:p w:rsidR="00074879" w:rsidRDefault="00074879" w:rsidP="00074879">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Vengono riportati i tempi medi di attesa </w:t>
      </w:r>
      <w:r w:rsidR="00192977" w:rsidRPr="006E0812">
        <w:rPr>
          <w:rFonts w:ascii="Times New Roman" w:eastAsia="Times New Roman" w:hAnsi="Times New Roman" w:cs="Times New Roman"/>
          <w:sz w:val="24"/>
          <w:szCs w:val="24"/>
          <w:lang w:eastAsia="it-IT"/>
        </w:rPr>
        <w:t>del periodo considerato rilevati presso</w:t>
      </w:r>
      <w:r w:rsidR="00192977">
        <w:rPr>
          <w:rFonts w:ascii="Times New Roman" w:eastAsia="Times New Roman" w:hAnsi="Times New Roman" w:cs="Times New Roman"/>
          <w:sz w:val="24"/>
          <w:szCs w:val="24"/>
          <w:lang w:eastAsia="it-IT"/>
        </w:rPr>
        <w:t xml:space="preserve"> </w:t>
      </w:r>
      <w:r w:rsidR="00607CE7">
        <w:rPr>
          <w:rFonts w:ascii="Times New Roman" w:eastAsia="Times New Roman" w:hAnsi="Times New Roman" w:cs="Times New Roman"/>
          <w:sz w:val="24"/>
          <w:szCs w:val="24"/>
          <w:lang w:eastAsia="it-IT"/>
        </w:rPr>
        <w:t>gli erogatori pubblici e privati accreditati</w:t>
      </w:r>
      <w:r>
        <w:rPr>
          <w:rFonts w:ascii="Times New Roman" w:eastAsia="Times New Roman" w:hAnsi="Times New Roman" w:cs="Times New Roman"/>
          <w:sz w:val="24"/>
          <w:szCs w:val="24"/>
          <w:lang w:eastAsia="it-IT"/>
        </w:rPr>
        <w:t xml:space="preserve">. Sono prese in considerazione tutte le prenotazioni </w:t>
      </w:r>
      <w:r w:rsidRPr="00591A70">
        <w:rPr>
          <w:rFonts w:ascii="Times New Roman" w:eastAsia="Times New Roman" w:hAnsi="Times New Roman" w:cs="Times New Roman"/>
          <w:sz w:val="24"/>
          <w:szCs w:val="24"/>
          <w:lang w:eastAsia="it-IT"/>
        </w:rPr>
        <w:t xml:space="preserve">effettuate </w:t>
      </w:r>
      <w:r w:rsidR="001F381F" w:rsidRPr="00591A70">
        <w:rPr>
          <w:rFonts w:ascii="Times New Roman" w:eastAsia="Times New Roman" w:hAnsi="Times New Roman" w:cs="Times New Roman"/>
          <w:sz w:val="24"/>
          <w:szCs w:val="24"/>
          <w:lang w:eastAsia="it-IT"/>
        </w:rPr>
        <w:t>presso l’erogatore che presenta il primo posto libero per la prestazione e la priorità richiesta, indipendentemente dal luogo di residenza dell’utenza</w:t>
      </w:r>
      <w:r w:rsidRPr="00591A70">
        <w:rPr>
          <w:rFonts w:ascii="Times New Roman" w:eastAsia="Times New Roman" w:hAnsi="Times New Roman" w:cs="Times New Roman"/>
          <w:sz w:val="24"/>
          <w:szCs w:val="24"/>
          <w:lang w:eastAsia="it-IT"/>
        </w:rPr>
        <w:t>.</w:t>
      </w:r>
    </w:p>
    <w:p w:rsidR="003A6968" w:rsidRDefault="00074879" w:rsidP="00074879">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vengono riportati i tempi dei secondi accessi. Rientrano in questa casistica le prestazioni di screening, i controlli e i follow-up e le prestazioni comprese in percorsi diagnostici complessi.</w:t>
      </w:r>
    </w:p>
    <w:p w:rsidR="00074879" w:rsidRDefault="003A6968" w:rsidP="00074879">
      <w:pPr>
        <w:spacing w:after="150" w:line="240" w:lineRule="auto"/>
        <w:jc w:val="both"/>
        <w:rPr>
          <w:rFonts w:ascii="Times New Roman" w:eastAsia="Times New Roman" w:hAnsi="Times New Roman" w:cs="Times New Roman"/>
          <w:sz w:val="24"/>
          <w:szCs w:val="24"/>
          <w:lang w:eastAsia="it-IT"/>
        </w:rPr>
      </w:pPr>
      <w:r w:rsidRPr="0076762F">
        <w:rPr>
          <w:rFonts w:ascii="Times New Roman" w:eastAsia="Times New Roman" w:hAnsi="Times New Roman" w:cs="Times New Roman"/>
          <w:sz w:val="24"/>
          <w:szCs w:val="24"/>
          <w:lang w:eastAsia="it-IT"/>
        </w:rPr>
        <w:t>In ambito provinciale per specifiche prestazioni sono stati definiti criteri di priorità secondo quadri clinici condivisi tra i diversi professionisti (ospedalieri, territoriali ed ambulatoriali) che prevedono accessi differenziati secondo le classi</w:t>
      </w:r>
      <w:r>
        <w:rPr>
          <w:rFonts w:ascii="Times New Roman" w:eastAsia="Times New Roman" w:hAnsi="Times New Roman" w:cs="Times New Roman"/>
          <w:sz w:val="24"/>
          <w:szCs w:val="24"/>
          <w:lang w:eastAsia="it-IT"/>
        </w:rPr>
        <w:t xml:space="preserve"> B – Breve, D – Differita, P – Programmata.</w:t>
      </w:r>
    </w:p>
    <w:p w:rsidR="00074879" w:rsidRPr="003A6968" w:rsidRDefault="00074879" w:rsidP="00074879">
      <w:pPr>
        <w:pStyle w:val="Paragrafoelenco"/>
        <w:numPr>
          <w:ilvl w:val="0"/>
          <w:numId w:val="9"/>
        </w:numPr>
        <w:spacing w:after="150" w:line="240" w:lineRule="auto"/>
        <w:jc w:val="both"/>
        <w:rPr>
          <w:rFonts w:ascii="Times New Roman" w:eastAsia="Times New Roman" w:hAnsi="Times New Roman" w:cs="Times New Roman"/>
          <w:sz w:val="24"/>
          <w:szCs w:val="24"/>
          <w:lang w:eastAsia="it-IT"/>
        </w:rPr>
      </w:pPr>
      <w:r w:rsidRPr="006E246B">
        <w:rPr>
          <w:rFonts w:ascii="Times New Roman" w:eastAsia="Times New Roman" w:hAnsi="Times New Roman" w:cs="Times New Roman"/>
          <w:color w:val="548DD4" w:themeColor="text2" w:themeTint="99"/>
          <w:sz w:val="24"/>
          <w:szCs w:val="24"/>
          <w:u w:val="single"/>
          <w:lang w:eastAsia="it-IT"/>
        </w:rPr>
        <w:lastRenderedPageBreak/>
        <w:t>2020</w:t>
      </w:r>
    </w:p>
    <w:p w:rsidR="003A6968" w:rsidRPr="006E246B" w:rsidRDefault="003A6968" w:rsidP="00074879">
      <w:pPr>
        <w:pStyle w:val="Paragrafoelenco"/>
        <w:numPr>
          <w:ilvl w:val="0"/>
          <w:numId w:val="9"/>
        </w:num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548DD4" w:themeColor="text2" w:themeTint="99"/>
          <w:sz w:val="24"/>
          <w:szCs w:val="24"/>
          <w:u w:val="single"/>
          <w:lang w:eastAsia="it-IT"/>
        </w:rPr>
        <w:t>Protocollo p</w:t>
      </w:r>
      <w:bookmarkStart w:id="3" w:name="_GoBack"/>
      <w:bookmarkEnd w:id="3"/>
      <w:r>
        <w:rPr>
          <w:rFonts w:ascii="Times New Roman" w:eastAsia="Times New Roman" w:hAnsi="Times New Roman" w:cs="Times New Roman"/>
          <w:color w:val="548DD4" w:themeColor="text2" w:themeTint="99"/>
          <w:sz w:val="24"/>
          <w:szCs w:val="24"/>
          <w:u w:val="single"/>
          <w:lang w:eastAsia="it-IT"/>
        </w:rPr>
        <w:t>er la prescrizione secondo priorità</w:t>
      </w:r>
      <w:r w:rsidR="004A75F6" w:rsidRPr="004A75F6">
        <w:rPr>
          <w:rFonts w:ascii="Times New Roman" w:eastAsia="Times New Roman" w:hAnsi="Times New Roman" w:cs="Times New Roman"/>
          <w:i/>
          <w:sz w:val="24"/>
          <w:szCs w:val="24"/>
          <w:lang w:eastAsia="it-IT"/>
        </w:rPr>
        <w:t xml:space="preserve"> </w:t>
      </w:r>
      <w:r w:rsidR="004A75F6">
        <w:rPr>
          <w:rFonts w:ascii="Times New Roman" w:eastAsia="Times New Roman" w:hAnsi="Times New Roman" w:cs="Times New Roman"/>
          <w:i/>
          <w:sz w:val="24"/>
          <w:szCs w:val="24"/>
          <w:lang w:eastAsia="it-IT"/>
        </w:rPr>
        <w:t>(</w:t>
      </w:r>
      <w:r w:rsidR="006C69DC">
        <w:rPr>
          <w:rFonts w:ascii="Times New Roman" w:eastAsia="Times New Roman" w:hAnsi="Times New Roman" w:cs="Times New Roman"/>
          <w:i/>
          <w:sz w:val="24"/>
          <w:szCs w:val="24"/>
          <w:lang w:eastAsia="it-IT"/>
        </w:rPr>
        <w:t>il link apre una nuova finestra)</w:t>
      </w:r>
    </w:p>
    <w:p w:rsidR="00074879" w:rsidRDefault="00074879" w:rsidP="00074879"/>
    <w:p w:rsidR="0004775A" w:rsidRPr="0076762F" w:rsidRDefault="0004775A" w:rsidP="0076762F">
      <w:pPr>
        <w:jc w:val="both"/>
        <w:rPr>
          <w:rFonts w:ascii="Times New Roman" w:eastAsia="Times New Roman" w:hAnsi="Times New Roman" w:cs="Times New Roman"/>
          <w:sz w:val="24"/>
          <w:szCs w:val="24"/>
          <w:lang w:eastAsia="it-IT"/>
        </w:rPr>
      </w:pPr>
      <w:r w:rsidRPr="0076762F">
        <w:rPr>
          <w:rFonts w:ascii="Times New Roman" w:eastAsia="Times New Roman" w:hAnsi="Times New Roman" w:cs="Times New Roman"/>
          <w:sz w:val="24"/>
          <w:szCs w:val="24"/>
          <w:lang w:eastAsia="it-IT"/>
        </w:rPr>
        <w:br w:type="page"/>
      </w:r>
    </w:p>
    <w:p w:rsidR="002353F4" w:rsidRPr="00E1319C" w:rsidRDefault="0031277D" w:rsidP="00726CA8">
      <w:pPr>
        <w:pStyle w:val="Titolo3"/>
      </w:pPr>
      <w:bookmarkStart w:id="4" w:name="_Criteri_di_formazione_1"/>
      <w:bookmarkEnd w:id="4"/>
      <w:r w:rsidRPr="003A6968">
        <w:lastRenderedPageBreak/>
        <w:t>Criteri di formazione delle liste di attesa</w:t>
      </w:r>
      <w:r w:rsidR="00740497" w:rsidRPr="003A6968">
        <w:t xml:space="preserve"> ambulatoriali e di ricovero</w:t>
      </w:r>
      <w:bookmarkEnd w:id="1"/>
    </w:p>
    <w:p w:rsidR="0031277D" w:rsidRDefault="0031277D" w:rsidP="007D31C5">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Servizio Sanitario Regionale prevede l’applicazione di criteri di priorità di accesso alle prestazioni sanitarie in coerenza con quanto previsto dalla normativa</w:t>
      </w:r>
      <w:r w:rsidR="0051472D">
        <w:rPr>
          <w:rFonts w:ascii="Times New Roman" w:eastAsia="Times New Roman" w:hAnsi="Times New Roman" w:cs="Times New Roman"/>
          <w:sz w:val="24"/>
          <w:szCs w:val="24"/>
          <w:lang w:eastAsia="it-IT"/>
        </w:rPr>
        <w:t xml:space="preserve"> nazionale, “anche in assenza di procedure concordate in quanto la pratica clinica induce l’applicazione di criteri di differenziazione dovuti principalmente all’esperienza clinica e al buon senso” (Conferenza Stato Regioni, 11 luglio 2002)</w:t>
      </w:r>
      <w:r w:rsidR="00922280">
        <w:rPr>
          <w:rFonts w:ascii="Times New Roman" w:eastAsia="Times New Roman" w:hAnsi="Times New Roman" w:cs="Times New Roman"/>
          <w:sz w:val="24"/>
          <w:szCs w:val="24"/>
          <w:lang w:eastAsia="it-IT"/>
        </w:rPr>
        <w:t>.</w:t>
      </w:r>
    </w:p>
    <w:p w:rsidR="00740497" w:rsidRDefault="00740497" w:rsidP="0031277D">
      <w:pPr>
        <w:spacing w:after="150" w:line="240" w:lineRule="auto"/>
        <w:rPr>
          <w:rFonts w:ascii="Times New Roman" w:eastAsia="Times New Roman" w:hAnsi="Times New Roman" w:cs="Times New Roman"/>
          <w:sz w:val="24"/>
          <w:szCs w:val="24"/>
          <w:lang w:eastAsia="it-IT"/>
        </w:rPr>
      </w:pPr>
    </w:p>
    <w:p w:rsidR="00922280" w:rsidRPr="00336157" w:rsidRDefault="001E5084" w:rsidP="0031277D">
      <w:pPr>
        <w:spacing w:after="150" w:line="240" w:lineRule="auto"/>
        <w:rPr>
          <w:rFonts w:ascii="Times New Roman" w:eastAsia="Times New Roman" w:hAnsi="Times New Roman" w:cs="Times New Roman"/>
          <w:b/>
          <w:sz w:val="24"/>
          <w:szCs w:val="24"/>
          <w:lang w:eastAsia="it-IT"/>
        </w:rPr>
      </w:pPr>
      <w:r w:rsidRPr="00336157">
        <w:rPr>
          <w:rFonts w:ascii="Times New Roman" w:eastAsia="Times New Roman" w:hAnsi="Times New Roman" w:cs="Times New Roman"/>
          <w:b/>
          <w:sz w:val="24"/>
          <w:szCs w:val="24"/>
          <w:lang w:eastAsia="it-IT"/>
        </w:rPr>
        <w:t>Criteri di accesso per</w:t>
      </w:r>
      <w:r w:rsidR="00922280" w:rsidRPr="00336157">
        <w:rPr>
          <w:rFonts w:ascii="Times New Roman" w:eastAsia="Times New Roman" w:hAnsi="Times New Roman" w:cs="Times New Roman"/>
          <w:b/>
          <w:sz w:val="24"/>
          <w:szCs w:val="24"/>
          <w:lang w:eastAsia="it-IT"/>
        </w:rPr>
        <w:t xml:space="preserve"> prime visite o primi accessi per prestazioni strumentali ambulatoriali</w:t>
      </w:r>
    </w:p>
    <w:p w:rsidR="00922280" w:rsidRDefault="00922280" w:rsidP="0031277D">
      <w:pPr>
        <w:spacing w:after="150" w:line="240" w:lineRule="auto"/>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2547"/>
        <w:gridCol w:w="3646"/>
        <w:gridCol w:w="3435"/>
      </w:tblGrid>
      <w:tr w:rsidR="001E5084" w:rsidTr="00740497">
        <w:tc>
          <w:tcPr>
            <w:tcW w:w="2547" w:type="dxa"/>
          </w:tcPr>
          <w:p w:rsidR="001E5084" w:rsidRPr="00740497" w:rsidRDefault="001E5084" w:rsidP="0031277D">
            <w:pPr>
              <w:spacing w:after="150"/>
              <w:rPr>
                <w:rFonts w:ascii="Times New Roman" w:eastAsia="Times New Roman" w:hAnsi="Times New Roman" w:cs="Times New Roman"/>
                <w:b/>
                <w:sz w:val="24"/>
                <w:szCs w:val="24"/>
                <w:lang w:eastAsia="it-IT"/>
              </w:rPr>
            </w:pPr>
            <w:r w:rsidRPr="00740497">
              <w:rPr>
                <w:rFonts w:ascii="Times New Roman" w:eastAsia="Times New Roman" w:hAnsi="Times New Roman" w:cs="Times New Roman"/>
                <w:b/>
                <w:sz w:val="24"/>
                <w:szCs w:val="24"/>
                <w:lang w:eastAsia="it-IT"/>
              </w:rPr>
              <w:t>Classe di priorità per specialistica ambulatoriale</w:t>
            </w:r>
          </w:p>
        </w:tc>
        <w:tc>
          <w:tcPr>
            <w:tcW w:w="3646" w:type="dxa"/>
          </w:tcPr>
          <w:p w:rsidR="001E5084" w:rsidRPr="00740497" w:rsidRDefault="001E5084" w:rsidP="0031277D">
            <w:pPr>
              <w:spacing w:after="150"/>
              <w:rPr>
                <w:rFonts w:ascii="Times New Roman" w:eastAsia="Times New Roman" w:hAnsi="Times New Roman" w:cs="Times New Roman"/>
                <w:b/>
                <w:sz w:val="24"/>
                <w:szCs w:val="24"/>
                <w:lang w:eastAsia="it-IT"/>
              </w:rPr>
            </w:pPr>
            <w:r w:rsidRPr="00740497">
              <w:rPr>
                <w:rFonts w:ascii="Times New Roman" w:eastAsia="Times New Roman" w:hAnsi="Times New Roman" w:cs="Times New Roman"/>
                <w:b/>
                <w:sz w:val="24"/>
                <w:szCs w:val="24"/>
                <w:lang w:eastAsia="it-IT"/>
              </w:rPr>
              <w:t>Criteri di erogazione</w:t>
            </w:r>
          </w:p>
        </w:tc>
        <w:tc>
          <w:tcPr>
            <w:tcW w:w="3435" w:type="dxa"/>
          </w:tcPr>
          <w:p w:rsidR="001E5084" w:rsidRPr="00740497" w:rsidRDefault="001E5084" w:rsidP="0031277D">
            <w:pPr>
              <w:spacing w:after="150"/>
              <w:rPr>
                <w:rFonts w:ascii="Times New Roman" w:eastAsia="Times New Roman" w:hAnsi="Times New Roman" w:cs="Times New Roman"/>
                <w:b/>
                <w:sz w:val="24"/>
                <w:szCs w:val="24"/>
                <w:lang w:eastAsia="it-IT"/>
              </w:rPr>
            </w:pPr>
            <w:r w:rsidRPr="00740497">
              <w:rPr>
                <w:rFonts w:ascii="Times New Roman" w:eastAsia="Times New Roman" w:hAnsi="Times New Roman" w:cs="Times New Roman"/>
                <w:b/>
                <w:sz w:val="24"/>
                <w:szCs w:val="24"/>
                <w:lang w:eastAsia="it-IT"/>
              </w:rPr>
              <w:t>Modalità di prenotazione</w:t>
            </w:r>
          </w:p>
        </w:tc>
      </w:tr>
      <w:tr w:rsidR="001E5084" w:rsidTr="00740497">
        <w:tc>
          <w:tcPr>
            <w:tcW w:w="2547" w:type="dxa"/>
          </w:tcPr>
          <w:p w:rsidR="001E5084" w:rsidRPr="008C0162" w:rsidRDefault="001E5084" w:rsidP="0031277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t>U - Urgente</w:t>
            </w:r>
          </w:p>
        </w:tc>
        <w:tc>
          <w:tcPr>
            <w:tcW w:w="3646" w:type="dxa"/>
          </w:tcPr>
          <w:p w:rsidR="001E5084" w:rsidRDefault="001E5084" w:rsidP="0031277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eseguire nel più breve tempo possibile o, se differibile, </w:t>
            </w:r>
            <w:r w:rsidRPr="009D0AA3">
              <w:rPr>
                <w:rFonts w:ascii="Times New Roman" w:eastAsia="Times New Roman" w:hAnsi="Times New Roman" w:cs="Times New Roman"/>
                <w:sz w:val="24"/>
                <w:szCs w:val="24"/>
                <w:lang w:eastAsia="it-IT"/>
              </w:rPr>
              <w:t>entro</w:t>
            </w:r>
            <w:r w:rsidRPr="009D0AA3">
              <w:rPr>
                <w:rFonts w:ascii="Times New Roman" w:eastAsia="Times New Roman" w:hAnsi="Times New Roman" w:cs="Times New Roman"/>
                <w:b/>
                <w:sz w:val="24"/>
                <w:szCs w:val="24"/>
                <w:lang w:eastAsia="it-IT"/>
              </w:rPr>
              <w:t xml:space="preserve"> 72 ore</w:t>
            </w:r>
          </w:p>
        </w:tc>
        <w:tc>
          <w:tcPr>
            <w:tcW w:w="3435" w:type="dxa"/>
          </w:tcPr>
          <w:p w:rsidR="00045997" w:rsidRDefault="006B4FC2" w:rsidP="003316EB">
            <w:pPr>
              <w:spacing w:after="150"/>
              <w:rPr>
                <w:rFonts w:ascii="Times New Roman" w:eastAsia="Times New Roman" w:hAnsi="Times New Roman" w:cs="Times New Roman"/>
                <w:sz w:val="24"/>
                <w:szCs w:val="24"/>
                <w:lang w:eastAsia="it-IT"/>
              </w:rPr>
            </w:pPr>
            <w:r w:rsidRPr="006B4FC2">
              <w:rPr>
                <w:rFonts w:ascii="Times New Roman" w:eastAsia="Times New Roman" w:hAnsi="Times New Roman" w:cs="Times New Roman"/>
                <w:sz w:val="24"/>
                <w:szCs w:val="24"/>
                <w:lang w:eastAsia="it-IT"/>
              </w:rPr>
              <w:t>Non prenotabile</w:t>
            </w:r>
          </w:p>
        </w:tc>
      </w:tr>
      <w:tr w:rsidR="001E5084" w:rsidTr="00740497">
        <w:tc>
          <w:tcPr>
            <w:tcW w:w="2547" w:type="dxa"/>
          </w:tcPr>
          <w:p w:rsidR="001E5084" w:rsidRPr="008C0162" w:rsidRDefault="001E5084" w:rsidP="0031277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t>B - Breve</w:t>
            </w:r>
          </w:p>
        </w:tc>
        <w:tc>
          <w:tcPr>
            <w:tcW w:w="3646" w:type="dxa"/>
          </w:tcPr>
          <w:p w:rsidR="001E5084" w:rsidRDefault="001E5084" w:rsidP="0031277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eseguire</w:t>
            </w:r>
            <w:r w:rsidRPr="009D0AA3">
              <w:rPr>
                <w:rFonts w:ascii="Times New Roman" w:eastAsia="Times New Roman" w:hAnsi="Times New Roman" w:cs="Times New Roman"/>
                <w:sz w:val="24"/>
                <w:szCs w:val="24"/>
                <w:lang w:eastAsia="it-IT"/>
              </w:rPr>
              <w:t xml:space="preserve"> entro</w:t>
            </w:r>
            <w:r w:rsidRPr="009D0AA3">
              <w:rPr>
                <w:rFonts w:ascii="Times New Roman" w:eastAsia="Times New Roman" w:hAnsi="Times New Roman" w:cs="Times New Roman"/>
                <w:b/>
                <w:sz w:val="24"/>
                <w:szCs w:val="24"/>
                <w:lang w:eastAsia="it-IT"/>
              </w:rPr>
              <w:t xml:space="preserve"> 10 giorni</w:t>
            </w:r>
          </w:p>
        </w:tc>
        <w:tc>
          <w:tcPr>
            <w:tcW w:w="3435" w:type="dxa"/>
          </w:tcPr>
          <w:p w:rsidR="001E5084" w:rsidRDefault="009D0AA3" w:rsidP="0031277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prenotare </w:t>
            </w:r>
            <w:r w:rsidRPr="009D0AA3">
              <w:rPr>
                <w:rFonts w:ascii="Times New Roman" w:eastAsia="Times New Roman" w:hAnsi="Times New Roman" w:cs="Times New Roman"/>
                <w:sz w:val="24"/>
                <w:szCs w:val="24"/>
                <w:lang w:eastAsia="it-IT"/>
              </w:rPr>
              <w:t>entro</w:t>
            </w:r>
            <w:r w:rsidRPr="009D0AA3">
              <w:rPr>
                <w:rFonts w:ascii="Times New Roman" w:eastAsia="Times New Roman" w:hAnsi="Times New Roman" w:cs="Times New Roman"/>
                <w:b/>
                <w:sz w:val="24"/>
                <w:szCs w:val="24"/>
                <w:lang w:eastAsia="it-IT"/>
              </w:rPr>
              <w:t xml:space="preserve"> 4 giorni</w:t>
            </w:r>
            <w:r>
              <w:rPr>
                <w:rFonts w:ascii="Times New Roman" w:eastAsia="Times New Roman" w:hAnsi="Times New Roman" w:cs="Times New Roman"/>
                <w:sz w:val="24"/>
                <w:szCs w:val="24"/>
                <w:lang w:eastAsia="it-IT"/>
              </w:rPr>
              <w:t xml:space="preserve"> dalla data dell</w:t>
            </w:r>
            <w:r w:rsidR="008C46AA">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ricetta presso qualsiasi sportello </w:t>
            </w:r>
            <w:proofErr w:type="spellStart"/>
            <w:r>
              <w:rPr>
                <w:rFonts w:ascii="Times New Roman" w:eastAsia="Times New Roman" w:hAnsi="Times New Roman" w:cs="Times New Roman"/>
                <w:sz w:val="24"/>
                <w:szCs w:val="24"/>
                <w:lang w:eastAsia="it-IT"/>
              </w:rPr>
              <w:t>cup</w:t>
            </w:r>
            <w:proofErr w:type="spellEnd"/>
            <w:r>
              <w:rPr>
                <w:rFonts w:ascii="Times New Roman" w:eastAsia="Times New Roman" w:hAnsi="Times New Roman" w:cs="Times New Roman"/>
                <w:sz w:val="24"/>
                <w:szCs w:val="24"/>
                <w:lang w:eastAsia="it-IT"/>
              </w:rPr>
              <w:t xml:space="preserve"> o tramite call center</w:t>
            </w:r>
          </w:p>
        </w:tc>
      </w:tr>
      <w:tr w:rsidR="001E5084" w:rsidTr="00740497">
        <w:tc>
          <w:tcPr>
            <w:tcW w:w="2547" w:type="dxa"/>
          </w:tcPr>
          <w:p w:rsidR="001E5084" w:rsidRPr="008C0162" w:rsidRDefault="001E5084" w:rsidP="0031277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t>D - Differita</w:t>
            </w:r>
          </w:p>
        </w:tc>
        <w:tc>
          <w:tcPr>
            <w:tcW w:w="3646" w:type="dxa"/>
          </w:tcPr>
          <w:p w:rsidR="001E5084" w:rsidRDefault="001E5084" w:rsidP="0031277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eseguire entro </w:t>
            </w:r>
            <w:r w:rsidRPr="009D0AA3">
              <w:rPr>
                <w:rFonts w:ascii="Times New Roman" w:eastAsia="Times New Roman" w:hAnsi="Times New Roman" w:cs="Times New Roman"/>
                <w:b/>
                <w:sz w:val="24"/>
                <w:szCs w:val="24"/>
                <w:lang w:eastAsia="it-IT"/>
              </w:rPr>
              <w:t xml:space="preserve">30 giorni </w:t>
            </w:r>
            <w:r>
              <w:rPr>
                <w:rFonts w:ascii="Times New Roman" w:eastAsia="Times New Roman" w:hAnsi="Times New Roman" w:cs="Times New Roman"/>
                <w:sz w:val="24"/>
                <w:szCs w:val="24"/>
                <w:lang w:eastAsia="it-IT"/>
              </w:rPr>
              <w:t xml:space="preserve">(visite) entro </w:t>
            </w:r>
            <w:r w:rsidRPr="009D0AA3">
              <w:rPr>
                <w:rFonts w:ascii="Times New Roman" w:eastAsia="Times New Roman" w:hAnsi="Times New Roman" w:cs="Times New Roman"/>
                <w:b/>
                <w:sz w:val="24"/>
                <w:szCs w:val="24"/>
                <w:lang w:eastAsia="it-IT"/>
              </w:rPr>
              <w:t>60 giorni</w:t>
            </w:r>
            <w:r>
              <w:rPr>
                <w:rFonts w:ascii="Times New Roman" w:eastAsia="Times New Roman" w:hAnsi="Times New Roman" w:cs="Times New Roman"/>
                <w:sz w:val="24"/>
                <w:szCs w:val="24"/>
                <w:lang w:eastAsia="it-IT"/>
              </w:rPr>
              <w:t xml:space="preserve"> (prestazioni strumentali)</w:t>
            </w:r>
          </w:p>
        </w:tc>
        <w:tc>
          <w:tcPr>
            <w:tcW w:w="3435" w:type="dxa"/>
          </w:tcPr>
          <w:p w:rsidR="001E5084" w:rsidRDefault="009D0AA3" w:rsidP="0031277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prenotare entro </w:t>
            </w:r>
            <w:r w:rsidRPr="005E4693">
              <w:rPr>
                <w:rFonts w:ascii="Times New Roman" w:eastAsia="Times New Roman" w:hAnsi="Times New Roman" w:cs="Times New Roman"/>
                <w:b/>
                <w:sz w:val="24"/>
                <w:szCs w:val="24"/>
                <w:lang w:eastAsia="it-IT"/>
              </w:rPr>
              <w:t>30 giorni</w:t>
            </w:r>
            <w:r>
              <w:rPr>
                <w:rFonts w:ascii="Times New Roman" w:eastAsia="Times New Roman" w:hAnsi="Times New Roman" w:cs="Times New Roman"/>
                <w:sz w:val="24"/>
                <w:szCs w:val="24"/>
                <w:lang w:eastAsia="it-IT"/>
              </w:rPr>
              <w:t xml:space="preserve"> dalla data della ricetta</w:t>
            </w:r>
            <w:r w:rsidR="00045997">
              <w:rPr>
                <w:rFonts w:ascii="Times New Roman" w:eastAsia="Times New Roman" w:hAnsi="Times New Roman" w:cs="Times New Roman"/>
                <w:sz w:val="24"/>
                <w:szCs w:val="24"/>
                <w:lang w:eastAsia="it-IT"/>
              </w:rPr>
              <w:t xml:space="preserve"> presso qualsiasi sportello </w:t>
            </w:r>
            <w:proofErr w:type="spellStart"/>
            <w:r w:rsidR="00045997">
              <w:rPr>
                <w:rFonts w:ascii="Times New Roman" w:eastAsia="Times New Roman" w:hAnsi="Times New Roman" w:cs="Times New Roman"/>
                <w:sz w:val="24"/>
                <w:szCs w:val="24"/>
                <w:lang w:eastAsia="it-IT"/>
              </w:rPr>
              <w:t>cup</w:t>
            </w:r>
            <w:proofErr w:type="spellEnd"/>
            <w:r w:rsidR="00045997">
              <w:rPr>
                <w:rFonts w:ascii="Times New Roman" w:eastAsia="Times New Roman" w:hAnsi="Times New Roman" w:cs="Times New Roman"/>
                <w:sz w:val="24"/>
                <w:szCs w:val="24"/>
                <w:lang w:eastAsia="it-IT"/>
              </w:rPr>
              <w:t xml:space="preserve"> o tramite call center</w:t>
            </w:r>
          </w:p>
        </w:tc>
      </w:tr>
      <w:tr w:rsidR="001E5084" w:rsidTr="00740497">
        <w:tc>
          <w:tcPr>
            <w:tcW w:w="2547" w:type="dxa"/>
          </w:tcPr>
          <w:p w:rsidR="001E5084" w:rsidRPr="008C0162" w:rsidRDefault="001E5084" w:rsidP="0031277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t>P - Programmata</w:t>
            </w:r>
          </w:p>
        </w:tc>
        <w:tc>
          <w:tcPr>
            <w:tcW w:w="3646" w:type="dxa"/>
          </w:tcPr>
          <w:p w:rsidR="001E5084" w:rsidRDefault="001E5084" w:rsidP="0031277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eseguire entro </w:t>
            </w:r>
            <w:r w:rsidRPr="009D0AA3">
              <w:rPr>
                <w:rFonts w:ascii="Times New Roman" w:eastAsia="Times New Roman" w:hAnsi="Times New Roman" w:cs="Times New Roman"/>
                <w:b/>
                <w:sz w:val="24"/>
                <w:szCs w:val="24"/>
                <w:lang w:eastAsia="it-IT"/>
              </w:rPr>
              <w:t>120 giorni</w:t>
            </w:r>
            <w:r>
              <w:rPr>
                <w:rFonts w:ascii="Times New Roman" w:eastAsia="Times New Roman" w:hAnsi="Times New Roman" w:cs="Times New Roman"/>
                <w:sz w:val="24"/>
                <w:szCs w:val="24"/>
                <w:lang w:eastAsia="it-IT"/>
              </w:rPr>
              <w:t xml:space="preserve"> (</w:t>
            </w:r>
            <w:r w:rsidRPr="001E5084">
              <w:rPr>
                <w:rFonts w:ascii="Times New Roman" w:eastAsia="Times New Roman" w:hAnsi="Times New Roman" w:cs="Times New Roman"/>
                <w:sz w:val="24"/>
                <w:szCs w:val="24"/>
                <w:lang w:eastAsia="it-IT"/>
              </w:rPr>
              <w:t>sono escluse le prestazioni programmate di approfondimento, controllo, follow-up e/o inserite in percorsi diagnostico terapeutici)</w:t>
            </w:r>
          </w:p>
        </w:tc>
        <w:tc>
          <w:tcPr>
            <w:tcW w:w="3435" w:type="dxa"/>
          </w:tcPr>
          <w:p w:rsidR="001E5084" w:rsidRDefault="00045997" w:rsidP="0031277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prenotare entro </w:t>
            </w:r>
            <w:r w:rsidRPr="005E4693">
              <w:rPr>
                <w:rFonts w:ascii="Times New Roman" w:eastAsia="Times New Roman" w:hAnsi="Times New Roman" w:cs="Times New Roman"/>
                <w:b/>
                <w:sz w:val="24"/>
                <w:szCs w:val="24"/>
                <w:lang w:eastAsia="it-IT"/>
              </w:rPr>
              <w:t>120 giorni</w:t>
            </w:r>
            <w:r>
              <w:rPr>
                <w:rFonts w:ascii="Times New Roman" w:eastAsia="Times New Roman" w:hAnsi="Times New Roman" w:cs="Times New Roman"/>
                <w:sz w:val="24"/>
                <w:szCs w:val="24"/>
                <w:lang w:eastAsia="it-IT"/>
              </w:rPr>
              <w:t xml:space="preserve"> dalla data della ricetta presso qualsiasi sportello </w:t>
            </w:r>
            <w:proofErr w:type="spellStart"/>
            <w:r>
              <w:rPr>
                <w:rFonts w:ascii="Times New Roman" w:eastAsia="Times New Roman" w:hAnsi="Times New Roman" w:cs="Times New Roman"/>
                <w:sz w:val="24"/>
                <w:szCs w:val="24"/>
                <w:lang w:eastAsia="it-IT"/>
              </w:rPr>
              <w:t>cup</w:t>
            </w:r>
            <w:proofErr w:type="spellEnd"/>
            <w:r>
              <w:rPr>
                <w:rFonts w:ascii="Times New Roman" w:eastAsia="Times New Roman" w:hAnsi="Times New Roman" w:cs="Times New Roman"/>
                <w:sz w:val="24"/>
                <w:szCs w:val="24"/>
                <w:lang w:eastAsia="it-IT"/>
              </w:rPr>
              <w:t xml:space="preserve"> o tramite call center</w:t>
            </w:r>
          </w:p>
        </w:tc>
      </w:tr>
    </w:tbl>
    <w:p w:rsidR="00922280" w:rsidRPr="0031277D" w:rsidRDefault="00922280" w:rsidP="0031277D">
      <w:pPr>
        <w:spacing w:after="150" w:line="240" w:lineRule="auto"/>
        <w:rPr>
          <w:rFonts w:ascii="Times New Roman" w:eastAsia="Times New Roman" w:hAnsi="Times New Roman" w:cs="Times New Roman"/>
          <w:sz w:val="24"/>
          <w:szCs w:val="24"/>
          <w:lang w:eastAsia="it-IT"/>
        </w:rPr>
      </w:pPr>
    </w:p>
    <w:p w:rsidR="003E55BC" w:rsidRDefault="005916BD" w:rsidP="005916BD">
      <w:pPr>
        <w:spacing w:after="150" w:line="240" w:lineRule="auto"/>
        <w:rPr>
          <w:rFonts w:ascii="Times New Roman" w:eastAsia="Times New Roman" w:hAnsi="Times New Roman" w:cs="Times New Roman"/>
          <w:b/>
          <w:sz w:val="24"/>
          <w:szCs w:val="24"/>
          <w:lang w:eastAsia="it-IT"/>
        </w:rPr>
      </w:pPr>
      <w:r w:rsidRPr="00C7163B">
        <w:rPr>
          <w:rFonts w:ascii="Times New Roman" w:eastAsia="Times New Roman" w:hAnsi="Times New Roman" w:cs="Times New Roman"/>
          <w:b/>
          <w:sz w:val="24"/>
          <w:szCs w:val="24"/>
          <w:lang w:eastAsia="it-IT"/>
        </w:rPr>
        <w:t>Criteri di accesso alle prestazioni di ricovero</w:t>
      </w:r>
    </w:p>
    <w:p w:rsidR="00C7163B" w:rsidRPr="00C7163B" w:rsidRDefault="00C7163B" w:rsidP="005916BD">
      <w:pPr>
        <w:spacing w:after="150" w:line="240" w:lineRule="auto"/>
        <w:rPr>
          <w:rFonts w:ascii="Times New Roman" w:eastAsia="Times New Roman" w:hAnsi="Times New Roman" w:cs="Times New Roman"/>
          <w:b/>
          <w:sz w:val="24"/>
          <w:szCs w:val="24"/>
          <w:lang w:eastAsia="it-IT"/>
        </w:rPr>
      </w:pPr>
    </w:p>
    <w:tbl>
      <w:tblPr>
        <w:tblStyle w:val="Grigliatabella"/>
        <w:tblW w:w="0" w:type="auto"/>
        <w:tblLook w:val="04A0" w:firstRow="1" w:lastRow="0" w:firstColumn="1" w:lastColumn="0" w:noHBand="0" w:noVBand="1"/>
      </w:tblPr>
      <w:tblGrid>
        <w:gridCol w:w="2263"/>
        <w:gridCol w:w="7365"/>
      </w:tblGrid>
      <w:tr w:rsidR="005916BD" w:rsidTr="007E68F6">
        <w:tc>
          <w:tcPr>
            <w:tcW w:w="2263" w:type="dxa"/>
          </w:tcPr>
          <w:p w:rsidR="005916BD" w:rsidRPr="00447B4D" w:rsidRDefault="005916BD" w:rsidP="005916BD">
            <w:pPr>
              <w:spacing w:after="150"/>
              <w:rPr>
                <w:rFonts w:ascii="Times New Roman" w:eastAsia="Times New Roman" w:hAnsi="Times New Roman" w:cs="Times New Roman"/>
                <w:b/>
                <w:sz w:val="24"/>
                <w:szCs w:val="24"/>
                <w:lang w:eastAsia="it-IT"/>
              </w:rPr>
            </w:pPr>
            <w:r w:rsidRPr="00447B4D">
              <w:rPr>
                <w:rFonts w:ascii="Times New Roman" w:eastAsia="Times New Roman" w:hAnsi="Times New Roman" w:cs="Times New Roman"/>
                <w:b/>
                <w:sz w:val="24"/>
                <w:szCs w:val="24"/>
                <w:lang w:eastAsia="it-IT"/>
              </w:rPr>
              <w:t>Classe di priorità per il ricovero</w:t>
            </w:r>
          </w:p>
        </w:tc>
        <w:tc>
          <w:tcPr>
            <w:tcW w:w="7365" w:type="dxa"/>
          </w:tcPr>
          <w:p w:rsidR="005916BD" w:rsidRPr="00447B4D" w:rsidRDefault="00525A99" w:rsidP="005916BD">
            <w:pPr>
              <w:spacing w:after="150"/>
              <w:rPr>
                <w:rFonts w:ascii="Times New Roman" w:eastAsia="Times New Roman" w:hAnsi="Times New Roman" w:cs="Times New Roman"/>
                <w:b/>
                <w:sz w:val="24"/>
                <w:szCs w:val="24"/>
                <w:lang w:eastAsia="it-IT"/>
              </w:rPr>
            </w:pPr>
            <w:r w:rsidRPr="00525A99">
              <w:rPr>
                <w:rFonts w:ascii="Times New Roman" w:eastAsia="Times New Roman" w:hAnsi="Times New Roman" w:cs="Times New Roman"/>
                <w:b/>
                <w:sz w:val="24"/>
                <w:szCs w:val="24"/>
                <w:lang w:eastAsia="it-IT"/>
              </w:rPr>
              <w:t>Modalità di programmazione</w:t>
            </w:r>
          </w:p>
        </w:tc>
      </w:tr>
      <w:tr w:rsidR="005916BD" w:rsidTr="007E68F6">
        <w:tc>
          <w:tcPr>
            <w:tcW w:w="2263" w:type="dxa"/>
          </w:tcPr>
          <w:p w:rsidR="005916BD" w:rsidRPr="008C0162" w:rsidRDefault="004B429C" w:rsidP="005916B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t>Classe A</w:t>
            </w:r>
          </w:p>
        </w:tc>
        <w:tc>
          <w:tcPr>
            <w:tcW w:w="7365" w:type="dxa"/>
          </w:tcPr>
          <w:p w:rsidR="005916BD" w:rsidRDefault="00D14A68" w:rsidP="005916B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Ricovero entro 30 giorni</w:t>
            </w:r>
            <w:r w:rsidR="004B429C">
              <w:rPr>
                <w:rFonts w:ascii="Times New Roman" w:eastAsia="Times New Roman" w:hAnsi="Times New Roman" w:cs="Times New Roman"/>
                <w:sz w:val="24"/>
                <w:szCs w:val="24"/>
                <w:lang w:eastAsia="it-IT"/>
              </w:rPr>
              <w:t xml:space="preserve"> per i casi clinici che possono aggravarsi rapidamente al punto da diventare emergenti o, comunque, da recare grave pregiudizio alla prognosi</w:t>
            </w:r>
          </w:p>
        </w:tc>
      </w:tr>
      <w:tr w:rsidR="0099632A" w:rsidTr="007E68F6">
        <w:tc>
          <w:tcPr>
            <w:tcW w:w="2263" w:type="dxa"/>
          </w:tcPr>
          <w:p w:rsidR="0099632A" w:rsidRPr="008C0162" w:rsidRDefault="0099632A" w:rsidP="005916B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t>Classe B</w:t>
            </w:r>
          </w:p>
        </w:tc>
        <w:tc>
          <w:tcPr>
            <w:tcW w:w="7365" w:type="dxa"/>
          </w:tcPr>
          <w:p w:rsidR="0099632A" w:rsidRDefault="00D14A68" w:rsidP="005916B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Ricovero entro 60 giorni</w:t>
            </w:r>
            <w:r w:rsidR="0099632A">
              <w:rPr>
                <w:rFonts w:ascii="Times New Roman" w:eastAsia="Times New Roman" w:hAnsi="Times New Roman" w:cs="Times New Roman"/>
                <w:sz w:val="24"/>
                <w:szCs w:val="24"/>
                <w:lang w:eastAsia="it-IT"/>
              </w:rPr>
              <w:t xml:space="preserve"> per i casi clinici che presentano intenso dolore, o gravi disfunzioni, o grave disabilità ma che non manifestano la tendenza ad aggravarsi rapidamente al punto da diventare emergenti né possono per l’attesa ricevere grave pregiudizio per la prognosi</w:t>
            </w:r>
          </w:p>
        </w:tc>
      </w:tr>
      <w:tr w:rsidR="009E6450" w:rsidTr="007E68F6">
        <w:tc>
          <w:tcPr>
            <w:tcW w:w="2263" w:type="dxa"/>
          </w:tcPr>
          <w:p w:rsidR="009E6450" w:rsidRPr="008C0162" w:rsidRDefault="009E6450" w:rsidP="005916B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t>Classe C</w:t>
            </w:r>
          </w:p>
        </w:tc>
        <w:tc>
          <w:tcPr>
            <w:tcW w:w="7365" w:type="dxa"/>
          </w:tcPr>
          <w:p w:rsidR="009E6450" w:rsidRDefault="009E6450" w:rsidP="005916B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Ricovero entro 180 g</w:t>
            </w:r>
            <w:r w:rsidR="00D14A68">
              <w:rPr>
                <w:rFonts w:ascii="Times New Roman" w:eastAsia="Times New Roman" w:hAnsi="Times New Roman" w:cs="Times New Roman"/>
                <w:sz w:val="24"/>
                <w:szCs w:val="24"/>
                <w:lang w:eastAsia="it-IT"/>
              </w:rPr>
              <w:t>iorni</w:t>
            </w:r>
            <w:r>
              <w:rPr>
                <w:rFonts w:ascii="Times New Roman" w:eastAsia="Times New Roman" w:hAnsi="Times New Roman" w:cs="Times New Roman"/>
                <w:sz w:val="24"/>
                <w:szCs w:val="24"/>
                <w:lang w:eastAsia="it-IT"/>
              </w:rPr>
              <w:t xml:space="preserve"> per i casi clinici che presentano minimo dolore, disfunzione o disabilità, e non manifestano t</w:t>
            </w:r>
            <w:r w:rsidR="00D14A68">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ndenza ad aggravarsi né </w:t>
            </w:r>
            <w:r>
              <w:rPr>
                <w:rFonts w:ascii="Times New Roman" w:eastAsia="Times New Roman" w:hAnsi="Times New Roman" w:cs="Times New Roman"/>
                <w:sz w:val="24"/>
                <w:szCs w:val="24"/>
                <w:lang w:eastAsia="it-IT"/>
              </w:rPr>
              <w:lastRenderedPageBreak/>
              <w:t>possono per l’attesa</w:t>
            </w:r>
            <w:r w:rsidR="000871B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ricevere grave pregiudizio alla prognosi</w:t>
            </w:r>
          </w:p>
        </w:tc>
      </w:tr>
      <w:tr w:rsidR="000871B0" w:rsidTr="007E68F6">
        <w:tc>
          <w:tcPr>
            <w:tcW w:w="2263" w:type="dxa"/>
          </w:tcPr>
          <w:p w:rsidR="000871B0" w:rsidRPr="008C0162" w:rsidRDefault="000871B0" w:rsidP="005916BD">
            <w:pPr>
              <w:spacing w:after="150"/>
              <w:rPr>
                <w:rFonts w:ascii="Times New Roman" w:eastAsia="Times New Roman" w:hAnsi="Times New Roman" w:cs="Times New Roman"/>
                <w:b/>
                <w:sz w:val="24"/>
                <w:szCs w:val="24"/>
                <w:lang w:eastAsia="it-IT"/>
              </w:rPr>
            </w:pPr>
            <w:r w:rsidRPr="008C0162">
              <w:rPr>
                <w:rFonts w:ascii="Times New Roman" w:eastAsia="Times New Roman" w:hAnsi="Times New Roman" w:cs="Times New Roman"/>
                <w:b/>
                <w:sz w:val="24"/>
                <w:szCs w:val="24"/>
                <w:lang w:eastAsia="it-IT"/>
              </w:rPr>
              <w:lastRenderedPageBreak/>
              <w:t>Classe D</w:t>
            </w:r>
          </w:p>
        </w:tc>
        <w:tc>
          <w:tcPr>
            <w:tcW w:w="7365" w:type="dxa"/>
          </w:tcPr>
          <w:p w:rsidR="000871B0" w:rsidRDefault="000871B0" w:rsidP="005916BD">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Ricovero senza attesa massima definita per i casi clinici che non causano alcun dolore</w:t>
            </w:r>
            <w:r w:rsidR="00476322">
              <w:rPr>
                <w:rFonts w:ascii="Times New Roman" w:eastAsia="Times New Roman" w:hAnsi="Times New Roman" w:cs="Times New Roman"/>
                <w:sz w:val="24"/>
                <w:szCs w:val="24"/>
                <w:lang w:eastAsia="it-IT"/>
              </w:rPr>
              <w:t>, disfunzione o disabilità. Questi casi devono comunque essere effettuati almeno entro 12 mesi</w:t>
            </w:r>
          </w:p>
        </w:tc>
      </w:tr>
    </w:tbl>
    <w:p w:rsidR="005916BD" w:rsidRDefault="005916BD" w:rsidP="005916BD">
      <w:pPr>
        <w:spacing w:after="150" w:line="240" w:lineRule="auto"/>
        <w:rPr>
          <w:rFonts w:ascii="Times New Roman" w:eastAsia="Times New Roman" w:hAnsi="Times New Roman" w:cs="Times New Roman"/>
          <w:sz w:val="24"/>
          <w:szCs w:val="24"/>
          <w:lang w:eastAsia="it-IT"/>
        </w:rPr>
      </w:pPr>
    </w:p>
    <w:p w:rsidR="00E1319C" w:rsidRDefault="00E1319C">
      <w:pPr>
        <w:rPr>
          <w:rFonts w:ascii="Times New Roman" w:eastAsia="Times New Roman" w:hAnsi="Times New Roman" w:cs="Times New Roman"/>
          <w:b/>
          <w:sz w:val="24"/>
          <w:szCs w:val="24"/>
          <w:lang w:eastAsia="it-IT"/>
        </w:rPr>
      </w:pPr>
      <w:bookmarkStart w:id="5" w:name="_Ref36041071"/>
      <w:r>
        <w:rPr>
          <w:rFonts w:ascii="Times New Roman" w:eastAsia="Times New Roman" w:hAnsi="Times New Roman" w:cs="Times New Roman"/>
          <w:b/>
          <w:sz w:val="24"/>
          <w:szCs w:val="24"/>
          <w:lang w:eastAsia="it-IT"/>
        </w:rPr>
        <w:br w:type="page"/>
      </w:r>
    </w:p>
    <w:p w:rsidR="005916BD" w:rsidRPr="00E1319C" w:rsidRDefault="00371F40" w:rsidP="00726CA8">
      <w:pPr>
        <w:pStyle w:val="Titolo3"/>
      </w:pPr>
      <w:bookmarkStart w:id="6" w:name="_Tempi_di_attesa"/>
      <w:bookmarkEnd w:id="6"/>
      <w:r w:rsidRPr="006E0812">
        <w:rPr>
          <w:color w:val="000000" w:themeColor="text1"/>
        </w:rPr>
        <w:lastRenderedPageBreak/>
        <w:t xml:space="preserve">Prestazioni oggetto di monitoraggio previste </w:t>
      </w:r>
      <w:r w:rsidR="000568C9" w:rsidRPr="00E1319C">
        <w:t>dalla normativa nazionale/regionale</w:t>
      </w:r>
      <w:bookmarkEnd w:id="5"/>
    </w:p>
    <w:p w:rsidR="000568C9" w:rsidRDefault="009D3E87" w:rsidP="004E4F55">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Piano Nazionale per il Governo delle Liste di Attesa (PNGLA 2019-2021) individua </w:t>
      </w:r>
      <w:r w:rsidR="00F71054">
        <w:rPr>
          <w:rFonts w:ascii="Times New Roman" w:eastAsia="Times New Roman" w:hAnsi="Times New Roman" w:cs="Times New Roman"/>
          <w:sz w:val="24"/>
          <w:szCs w:val="24"/>
          <w:lang w:eastAsia="it-IT"/>
        </w:rPr>
        <w:t>il seguente elenco di prestazioni ambulatoriali in monitoraggio</w:t>
      </w:r>
      <w:r>
        <w:rPr>
          <w:rFonts w:ascii="Times New Roman" w:eastAsia="Times New Roman" w:hAnsi="Times New Roman" w:cs="Times New Roman"/>
          <w:sz w:val="24"/>
          <w:szCs w:val="24"/>
          <w:lang w:eastAsia="it-IT"/>
        </w:rPr>
        <w:t>:</w:t>
      </w:r>
    </w:p>
    <w:p w:rsidR="006A054C" w:rsidRPr="00C4583A" w:rsidRDefault="006A054C" w:rsidP="000568C9">
      <w:pPr>
        <w:spacing w:after="150" w:line="240" w:lineRule="auto"/>
        <w:rPr>
          <w:rFonts w:ascii="Times New Roman" w:eastAsia="Times New Roman" w:hAnsi="Times New Roman" w:cs="Times New Roman"/>
          <w:b/>
          <w:sz w:val="24"/>
          <w:szCs w:val="24"/>
          <w:lang w:eastAsia="it-IT"/>
        </w:rPr>
      </w:pPr>
      <w:r w:rsidRPr="00C4583A">
        <w:rPr>
          <w:rFonts w:ascii="Times New Roman" w:eastAsia="Times New Roman" w:hAnsi="Times New Roman" w:cs="Times New Roman"/>
          <w:b/>
          <w:sz w:val="24"/>
          <w:szCs w:val="24"/>
          <w:lang w:eastAsia="it-IT"/>
        </w:rPr>
        <w:t>Visite specialistiche</w:t>
      </w:r>
    </w:p>
    <w:tbl>
      <w:tblPr>
        <w:tblStyle w:val="Grigliatabella"/>
        <w:tblW w:w="0" w:type="auto"/>
        <w:tblLook w:val="04A0" w:firstRow="1" w:lastRow="0" w:firstColumn="1" w:lastColumn="0" w:noHBand="0" w:noVBand="1"/>
      </w:tblPr>
      <w:tblGrid>
        <w:gridCol w:w="6232"/>
      </w:tblGrid>
      <w:tr w:rsidR="00AE4781" w:rsidRPr="00C4583A" w:rsidTr="00C4583A">
        <w:tc>
          <w:tcPr>
            <w:tcW w:w="6232" w:type="dxa"/>
          </w:tcPr>
          <w:p w:rsidR="00AE4781" w:rsidRPr="00C4583A" w:rsidRDefault="00AE4781" w:rsidP="000568C9">
            <w:pPr>
              <w:spacing w:after="150"/>
              <w:rPr>
                <w:rFonts w:ascii="Times New Roman" w:eastAsia="Times New Roman" w:hAnsi="Times New Roman" w:cs="Times New Roman"/>
                <w:b/>
                <w:sz w:val="24"/>
                <w:szCs w:val="24"/>
                <w:lang w:eastAsia="it-IT"/>
              </w:rPr>
            </w:pPr>
            <w:r w:rsidRPr="00C4583A">
              <w:rPr>
                <w:rFonts w:ascii="Times New Roman" w:eastAsia="Times New Roman" w:hAnsi="Times New Roman" w:cs="Times New Roman"/>
                <w:b/>
                <w:sz w:val="24"/>
                <w:szCs w:val="24"/>
                <w:lang w:eastAsia="it-IT"/>
              </w:rPr>
              <w:t>Prestazione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cardiologica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chirurgia vascolare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endocrinologica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neurologica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oculistica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ortopedica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ginecologica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otorinolaringoiatrica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urologica</w:t>
            </w:r>
          </w:p>
        </w:tc>
      </w:tr>
      <w:tr w:rsidR="00AE4781" w:rsidTr="00C4583A">
        <w:tc>
          <w:tcPr>
            <w:tcW w:w="6232" w:type="dxa"/>
          </w:tcPr>
          <w:p w:rsidR="00AE4781" w:rsidRDefault="00AE4781" w:rsidP="00B72638">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dermatologica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fisiatrica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gastroenterologica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oncologica</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Visita pneumologica</w:t>
            </w:r>
          </w:p>
        </w:tc>
      </w:tr>
    </w:tbl>
    <w:p w:rsidR="009D3E87" w:rsidRDefault="009D3E87" w:rsidP="000568C9">
      <w:pPr>
        <w:spacing w:after="150" w:line="240" w:lineRule="auto"/>
        <w:rPr>
          <w:rFonts w:ascii="Times New Roman" w:eastAsia="Times New Roman" w:hAnsi="Times New Roman" w:cs="Times New Roman"/>
          <w:sz w:val="24"/>
          <w:szCs w:val="24"/>
          <w:lang w:eastAsia="it-IT"/>
        </w:rPr>
      </w:pPr>
    </w:p>
    <w:p w:rsidR="00123163" w:rsidRPr="00C4583A" w:rsidRDefault="006A054C" w:rsidP="000568C9">
      <w:pPr>
        <w:spacing w:after="150" w:line="240" w:lineRule="auto"/>
        <w:rPr>
          <w:rFonts w:ascii="Times New Roman" w:eastAsia="Times New Roman" w:hAnsi="Times New Roman" w:cs="Times New Roman"/>
          <w:b/>
          <w:sz w:val="24"/>
          <w:szCs w:val="24"/>
          <w:lang w:eastAsia="it-IT"/>
        </w:rPr>
      </w:pPr>
      <w:r w:rsidRPr="00C4583A">
        <w:rPr>
          <w:rFonts w:ascii="Times New Roman" w:eastAsia="Times New Roman" w:hAnsi="Times New Roman" w:cs="Times New Roman"/>
          <w:b/>
          <w:sz w:val="24"/>
          <w:szCs w:val="24"/>
          <w:lang w:eastAsia="it-IT"/>
        </w:rPr>
        <w:t>Prestazioni strumentali</w:t>
      </w:r>
    </w:p>
    <w:tbl>
      <w:tblPr>
        <w:tblStyle w:val="Grigliatabella"/>
        <w:tblW w:w="0" w:type="auto"/>
        <w:tblLook w:val="04A0" w:firstRow="1" w:lastRow="0" w:firstColumn="1" w:lastColumn="0" w:noHBand="0" w:noVBand="1"/>
      </w:tblPr>
      <w:tblGrid>
        <w:gridCol w:w="6232"/>
      </w:tblGrid>
      <w:tr w:rsidR="00AE4781" w:rsidRPr="00C4583A" w:rsidTr="00C4583A">
        <w:tc>
          <w:tcPr>
            <w:tcW w:w="6232" w:type="dxa"/>
          </w:tcPr>
          <w:p w:rsidR="00AE4781" w:rsidRPr="00C4583A" w:rsidRDefault="00AE4781" w:rsidP="000568C9">
            <w:pPr>
              <w:spacing w:after="150"/>
              <w:rPr>
                <w:rFonts w:ascii="Times New Roman" w:eastAsia="Times New Roman" w:hAnsi="Times New Roman" w:cs="Times New Roman"/>
                <w:b/>
                <w:sz w:val="24"/>
                <w:szCs w:val="24"/>
                <w:lang w:eastAsia="it-IT"/>
              </w:rPr>
            </w:pPr>
            <w:r w:rsidRPr="00C4583A">
              <w:rPr>
                <w:rFonts w:ascii="Times New Roman" w:eastAsia="Times New Roman" w:hAnsi="Times New Roman" w:cs="Times New Roman"/>
                <w:b/>
                <w:sz w:val="24"/>
                <w:szCs w:val="24"/>
                <w:lang w:eastAsia="it-IT"/>
              </w:rPr>
              <w:t>Prestazione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Mammografia bilaterale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Mammografia monolaterale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torace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torace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addome superiore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addome superiore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addome inferiore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addome inferiore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addome completo</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addome completo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TC cranio - encefalo</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cranio – encefalo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rachide e speco vertebrale cervicale</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rachide e speco vertebrale toracico</w:t>
            </w:r>
          </w:p>
        </w:tc>
      </w:tr>
      <w:tr w:rsidR="00AE4781" w:rsidTr="00C4583A">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rachide e speco vertebrale lombosacrale</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rachide e speco vertebrale cervicale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rachide e speco vertebrale toracico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TC rachide e speco vertebrale lombosacrale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TC bacino e articolazioni sacroiliache</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RM encefalo e tronco encefalico</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RM encefalo e tronco encefalico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RM addome inferiore e scavo pelvico</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RM addome inferiore e scavo pelvico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RM colonna in toto</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Rm</w:t>
            </w:r>
            <w:proofErr w:type="spellEnd"/>
            <w:r>
              <w:rPr>
                <w:rFonts w:ascii="Times New Roman" w:eastAsia="Times New Roman" w:hAnsi="Times New Roman" w:cs="Times New Roman"/>
                <w:sz w:val="24"/>
                <w:szCs w:val="24"/>
                <w:lang w:eastAsia="it-IT"/>
              </w:rPr>
              <w:t xml:space="preserve"> colonna in toto senza e con </w:t>
            </w:r>
            <w:proofErr w:type="spellStart"/>
            <w:r>
              <w:rPr>
                <w:rFonts w:ascii="Times New Roman" w:eastAsia="Times New Roman" w:hAnsi="Times New Roman" w:cs="Times New Roman"/>
                <w:sz w:val="24"/>
                <w:szCs w:val="24"/>
                <w:lang w:eastAsia="it-IT"/>
              </w:rPr>
              <w:t>MdC</w:t>
            </w:r>
            <w:proofErr w:type="spellEnd"/>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capo e collo</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Eco(color)</w:t>
            </w:r>
            <w:proofErr w:type="spellStart"/>
            <w:r>
              <w:rPr>
                <w:rFonts w:ascii="Times New Roman" w:eastAsia="Times New Roman" w:hAnsi="Times New Roman" w:cs="Times New Roman"/>
                <w:sz w:val="24"/>
                <w:szCs w:val="24"/>
                <w:lang w:eastAsia="it-IT"/>
              </w:rPr>
              <w:t>dopplergrafia</w:t>
            </w:r>
            <w:proofErr w:type="spellEnd"/>
            <w:r>
              <w:rPr>
                <w:rFonts w:ascii="Times New Roman" w:eastAsia="Times New Roman" w:hAnsi="Times New Roman" w:cs="Times New Roman"/>
                <w:sz w:val="24"/>
                <w:szCs w:val="24"/>
                <w:lang w:eastAsia="it-IT"/>
              </w:rPr>
              <w:t xml:space="preserve"> cardiaca</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Eco(color)</w:t>
            </w:r>
            <w:proofErr w:type="spellStart"/>
            <w:r>
              <w:rPr>
                <w:rFonts w:ascii="Times New Roman" w:eastAsia="Times New Roman" w:hAnsi="Times New Roman" w:cs="Times New Roman"/>
                <w:sz w:val="24"/>
                <w:szCs w:val="24"/>
                <w:lang w:eastAsia="it-IT"/>
              </w:rPr>
              <w:t>dopplergrafia</w:t>
            </w:r>
            <w:proofErr w:type="spellEnd"/>
            <w:r>
              <w:rPr>
                <w:rFonts w:ascii="Times New Roman" w:eastAsia="Times New Roman" w:hAnsi="Times New Roman" w:cs="Times New Roman"/>
                <w:sz w:val="24"/>
                <w:szCs w:val="24"/>
                <w:lang w:eastAsia="it-IT"/>
              </w:rPr>
              <w:t xml:space="preserve"> tronchi </w:t>
            </w:r>
            <w:proofErr w:type="spellStart"/>
            <w:r>
              <w:rPr>
                <w:rFonts w:ascii="Times New Roman" w:eastAsia="Times New Roman" w:hAnsi="Times New Roman" w:cs="Times New Roman"/>
                <w:sz w:val="24"/>
                <w:szCs w:val="24"/>
                <w:lang w:eastAsia="it-IT"/>
              </w:rPr>
              <w:t>sovraaortici</w:t>
            </w:r>
            <w:proofErr w:type="spellEnd"/>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addome superiore</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addome inferiore</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addome completo</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mammella bilaterale</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mammella monolaterale</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ostetrica</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Ecografia ginecologica</w:t>
            </w:r>
          </w:p>
        </w:tc>
      </w:tr>
      <w:tr w:rsidR="00AE4781" w:rsidTr="00C4583A">
        <w:tc>
          <w:tcPr>
            <w:tcW w:w="6232" w:type="dxa"/>
          </w:tcPr>
          <w:p w:rsidR="00AE4781" w:rsidRDefault="00AE4781" w:rsidP="0021123B">
            <w:pPr>
              <w:spacing w:after="150"/>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Ecocolordoppler</w:t>
            </w:r>
            <w:proofErr w:type="spellEnd"/>
            <w:r>
              <w:rPr>
                <w:rFonts w:ascii="Times New Roman" w:eastAsia="Times New Roman" w:hAnsi="Times New Roman" w:cs="Times New Roman"/>
                <w:sz w:val="24"/>
                <w:szCs w:val="24"/>
                <w:lang w:eastAsia="it-IT"/>
              </w:rPr>
              <w:t xml:space="preserve"> arti inferiori arterioso e/o venoso</w:t>
            </w:r>
          </w:p>
        </w:tc>
      </w:tr>
    </w:tbl>
    <w:p w:rsidR="006A054C" w:rsidRDefault="006A054C" w:rsidP="000568C9">
      <w:pPr>
        <w:spacing w:after="150" w:line="240" w:lineRule="auto"/>
        <w:rPr>
          <w:rFonts w:ascii="Times New Roman" w:eastAsia="Times New Roman" w:hAnsi="Times New Roman" w:cs="Times New Roman"/>
          <w:sz w:val="24"/>
          <w:szCs w:val="24"/>
          <w:lang w:eastAsia="it-IT"/>
        </w:rPr>
      </w:pPr>
    </w:p>
    <w:p w:rsidR="00F43C1F" w:rsidRPr="00E37854" w:rsidRDefault="00F43C1F" w:rsidP="000568C9">
      <w:pPr>
        <w:spacing w:after="150" w:line="240" w:lineRule="auto"/>
        <w:rPr>
          <w:rFonts w:ascii="Times New Roman" w:eastAsia="Times New Roman" w:hAnsi="Times New Roman" w:cs="Times New Roman"/>
          <w:b/>
          <w:sz w:val="24"/>
          <w:szCs w:val="24"/>
          <w:lang w:eastAsia="it-IT"/>
        </w:rPr>
      </w:pPr>
      <w:r w:rsidRPr="00E37854">
        <w:rPr>
          <w:rFonts w:ascii="Times New Roman" w:eastAsia="Times New Roman" w:hAnsi="Times New Roman" w:cs="Times New Roman"/>
          <w:b/>
          <w:sz w:val="24"/>
          <w:szCs w:val="24"/>
          <w:lang w:eastAsia="it-IT"/>
        </w:rPr>
        <w:t>Altri esami specialistici</w:t>
      </w:r>
    </w:p>
    <w:tbl>
      <w:tblPr>
        <w:tblStyle w:val="Grigliatabella"/>
        <w:tblW w:w="0" w:type="auto"/>
        <w:tblLook w:val="04A0" w:firstRow="1" w:lastRow="0" w:firstColumn="1" w:lastColumn="0" w:noHBand="0" w:noVBand="1"/>
      </w:tblPr>
      <w:tblGrid>
        <w:gridCol w:w="6232"/>
      </w:tblGrid>
      <w:tr w:rsidR="00AE4781" w:rsidRPr="00E37854" w:rsidTr="00E37854">
        <w:tc>
          <w:tcPr>
            <w:tcW w:w="6232" w:type="dxa"/>
          </w:tcPr>
          <w:p w:rsidR="00AE4781" w:rsidRPr="00E37854" w:rsidRDefault="00AE4781" w:rsidP="000568C9">
            <w:pPr>
              <w:spacing w:after="150"/>
              <w:rPr>
                <w:rFonts w:ascii="Times New Roman" w:eastAsia="Times New Roman" w:hAnsi="Times New Roman" w:cs="Times New Roman"/>
                <w:b/>
                <w:sz w:val="24"/>
                <w:szCs w:val="24"/>
                <w:lang w:eastAsia="it-IT"/>
              </w:rPr>
            </w:pPr>
            <w:r w:rsidRPr="00E37854">
              <w:rPr>
                <w:rFonts w:ascii="Times New Roman" w:eastAsia="Times New Roman" w:hAnsi="Times New Roman" w:cs="Times New Roman"/>
                <w:b/>
                <w:sz w:val="24"/>
                <w:szCs w:val="24"/>
                <w:lang w:eastAsia="it-IT"/>
              </w:rPr>
              <w:t>Prestazione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Colonscopia con endoscopio flessibile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Polipectomia</w:t>
            </w:r>
            <w:proofErr w:type="spellEnd"/>
            <w:r>
              <w:rPr>
                <w:rFonts w:ascii="Times New Roman" w:eastAsia="Times New Roman" w:hAnsi="Times New Roman" w:cs="Times New Roman"/>
                <w:sz w:val="24"/>
                <w:szCs w:val="24"/>
                <w:lang w:eastAsia="it-IT"/>
              </w:rPr>
              <w:t xml:space="preserve"> intestino crasso in corso di endoscopia sede unica</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Rettosigmoidoscopia</w:t>
            </w:r>
            <w:proofErr w:type="spellEnd"/>
            <w:r>
              <w:rPr>
                <w:rFonts w:ascii="Times New Roman" w:eastAsia="Times New Roman" w:hAnsi="Times New Roman" w:cs="Times New Roman"/>
                <w:sz w:val="24"/>
                <w:szCs w:val="24"/>
                <w:lang w:eastAsia="it-IT"/>
              </w:rPr>
              <w:t xml:space="preserve"> con endoscopio flessibile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Esofagogastroduodenoscopia</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Esofagogastroduodenoscopia con biopsia in sede unica</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Elettrocardiogramma</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Elettrocardiogramma dinamico (Holter)</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Test cardiovascolare da sforzo con cicloergometro/pedana mobile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Altri test cardiovascolari da sforzo</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Esame </w:t>
            </w:r>
            <w:proofErr w:type="gramStart"/>
            <w:r>
              <w:rPr>
                <w:rFonts w:ascii="Times New Roman" w:eastAsia="Times New Roman" w:hAnsi="Times New Roman" w:cs="Times New Roman"/>
                <w:sz w:val="24"/>
                <w:szCs w:val="24"/>
                <w:lang w:eastAsia="it-IT"/>
              </w:rPr>
              <w:t>audiometrico  tonale</w:t>
            </w:r>
            <w:proofErr w:type="gramEnd"/>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Spirometria semplice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Spirometria globale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Fotografia del </w:t>
            </w:r>
            <w:proofErr w:type="spellStart"/>
            <w:r>
              <w:rPr>
                <w:rFonts w:ascii="Times New Roman" w:eastAsia="Times New Roman" w:hAnsi="Times New Roman" w:cs="Times New Roman"/>
                <w:sz w:val="24"/>
                <w:szCs w:val="24"/>
                <w:lang w:eastAsia="it-IT"/>
              </w:rPr>
              <w:t>fundus</w:t>
            </w:r>
            <w:proofErr w:type="spellEnd"/>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Elettromiografia semplice (EMG) arto superiore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Elettromiografia semplice arto inferiore</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Elettromiografia semplice capo</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Elettromiografia semplice tronco</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Valutazione EMG dinamica cammino</w:t>
            </w:r>
          </w:p>
        </w:tc>
      </w:tr>
      <w:tr w:rsidR="00AE4781" w:rsidTr="00E37854">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EMG dinamica arto superiore</w:t>
            </w:r>
          </w:p>
        </w:tc>
      </w:tr>
    </w:tbl>
    <w:p w:rsidR="00F43C1F" w:rsidRDefault="00F43C1F" w:rsidP="000568C9">
      <w:pPr>
        <w:spacing w:after="150" w:line="240" w:lineRule="auto"/>
        <w:rPr>
          <w:rFonts w:ascii="Times New Roman" w:eastAsia="Times New Roman" w:hAnsi="Times New Roman" w:cs="Times New Roman"/>
          <w:sz w:val="24"/>
          <w:szCs w:val="24"/>
          <w:lang w:eastAsia="it-IT"/>
        </w:rPr>
      </w:pPr>
    </w:p>
    <w:p w:rsidR="00F71054" w:rsidRDefault="00F71054" w:rsidP="00F71054">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Piano Nazionale per il Governo delle Liste di Attesa (PNGLA 2019-2021) individua</w:t>
      </w:r>
      <w:r w:rsidR="00074879">
        <w:rPr>
          <w:rFonts w:ascii="Times New Roman" w:eastAsia="Times New Roman" w:hAnsi="Times New Roman" w:cs="Times New Roman"/>
          <w:sz w:val="24"/>
          <w:szCs w:val="24"/>
          <w:lang w:eastAsia="it-IT"/>
        </w:rPr>
        <w:t xml:space="preserve"> per il monitoraggio</w:t>
      </w:r>
      <w:r>
        <w:rPr>
          <w:rFonts w:ascii="Times New Roman" w:eastAsia="Times New Roman" w:hAnsi="Times New Roman" w:cs="Times New Roman"/>
          <w:sz w:val="24"/>
          <w:szCs w:val="24"/>
          <w:lang w:eastAsia="it-IT"/>
        </w:rPr>
        <w:t xml:space="preserve"> il seguente elenco di prestazioni in regime di ricovero:</w:t>
      </w:r>
    </w:p>
    <w:p w:rsidR="004E4F55" w:rsidRPr="00F71054" w:rsidRDefault="008C0D5E" w:rsidP="000568C9">
      <w:pPr>
        <w:spacing w:after="150" w:line="240" w:lineRule="auto"/>
        <w:rPr>
          <w:rFonts w:ascii="Times New Roman" w:eastAsia="Times New Roman" w:hAnsi="Times New Roman" w:cs="Times New Roman"/>
          <w:b/>
          <w:sz w:val="24"/>
          <w:szCs w:val="24"/>
          <w:lang w:eastAsia="it-IT"/>
        </w:rPr>
      </w:pPr>
      <w:r w:rsidRPr="00F71054">
        <w:rPr>
          <w:rFonts w:ascii="Times New Roman" w:eastAsia="Times New Roman" w:hAnsi="Times New Roman" w:cs="Times New Roman"/>
          <w:b/>
          <w:sz w:val="24"/>
          <w:szCs w:val="24"/>
          <w:lang w:eastAsia="it-IT"/>
        </w:rPr>
        <w:t>Prestazioni in regime di ricovero</w:t>
      </w:r>
    </w:p>
    <w:tbl>
      <w:tblPr>
        <w:tblStyle w:val="Grigliatabella"/>
        <w:tblW w:w="0" w:type="auto"/>
        <w:tblLook w:val="04A0" w:firstRow="1" w:lastRow="0" w:firstColumn="1" w:lastColumn="0" w:noHBand="0" w:noVBand="1"/>
      </w:tblPr>
      <w:tblGrid>
        <w:gridCol w:w="6232"/>
      </w:tblGrid>
      <w:tr w:rsidR="00AE4781" w:rsidRPr="00F71054" w:rsidTr="00AE4781">
        <w:tc>
          <w:tcPr>
            <w:tcW w:w="6232" w:type="dxa"/>
          </w:tcPr>
          <w:p w:rsidR="00AE4781" w:rsidRPr="00F71054" w:rsidRDefault="00AE4781" w:rsidP="000568C9">
            <w:pPr>
              <w:spacing w:after="150"/>
              <w:rPr>
                <w:rFonts w:ascii="Times New Roman" w:eastAsia="Times New Roman" w:hAnsi="Times New Roman" w:cs="Times New Roman"/>
                <w:b/>
                <w:sz w:val="24"/>
                <w:szCs w:val="24"/>
                <w:lang w:eastAsia="it-IT"/>
              </w:rPr>
            </w:pPr>
            <w:r w:rsidRPr="00F71054">
              <w:rPr>
                <w:rFonts w:ascii="Times New Roman" w:eastAsia="Times New Roman" w:hAnsi="Times New Roman" w:cs="Times New Roman"/>
                <w:b/>
                <w:sz w:val="24"/>
                <w:szCs w:val="24"/>
                <w:lang w:eastAsia="it-IT"/>
              </w:rPr>
              <w:t>Prestazione</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Interventi chirurgici tumore maligno mammella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Interventi chirurgici tumore maligno prostata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Interventi chirurgici tumore maligno colon</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Interventi chirurgici tumore maligno retto</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Interventi chirurgici tumore maligno utero</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Interventi chirurgici melanoma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Interventi chirurgici tumore maligno tiroide</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By pass aortocoronarico</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Angioplastica coronarica (PCTA)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Endoarteriectomia</w:t>
            </w:r>
            <w:proofErr w:type="spellEnd"/>
            <w:r>
              <w:rPr>
                <w:rFonts w:ascii="Times New Roman" w:eastAsia="Times New Roman" w:hAnsi="Times New Roman" w:cs="Times New Roman"/>
                <w:sz w:val="24"/>
                <w:szCs w:val="24"/>
                <w:lang w:eastAsia="it-IT"/>
              </w:rPr>
              <w:t xml:space="preserve"> carotidea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Intervento protesi d’anca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Interventi chirurgici tumore polmone</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Colecistectomia laparoscopica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Coronarografia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Biopsia percutanea fegato</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Emorroidectomia</w:t>
            </w:r>
          </w:p>
        </w:tc>
      </w:tr>
      <w:tr w:rsidR="00AE4781" w:rsidTr="00AE4781">
        <w:tc>
          <w:tcPr>
            <w:tcW w:w="6232" w:type="dxa"/>
          </w:tcPr>
          <w:p w:rsidR="00AE4781" w:rsidRDefault="00AE4781" w:rsidP="000568C9">
            <w:pPr>
              <w:spacing w:after="15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Riparazione ernia inguinale</w:t>
            </w:r>
          </w:p>
        </w:tc>
      </w:tr>
    </w:tbl>
    <w:p w:rsidR="008C0D5E" w:rsidRPr="000568C9" w:rsidRDefault="008C0D5E" w:rsidP="000568C9">
      <w:pPr>
        <w:spacing w:after="150" w:line="240" w:lineRule="auto"/>
        <w:rPr>
          <w:rFonts w:ascii="Times New Roman" w:eastAsia="Times New Roman" w:hAnsi="Times New Roman" w:cs="Times New Roman"/>
          <w:sz w:val="24"/>
          <w:szCs w:val="24"/>
          <w:lang w:eastAsia="it-IT"/>
        </w:rPr>
      </w:pPr>
    </w:p>
    <w:sectPr w:rsidR="008C0D5E" w:rsidRPr="000568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0D1"/>
    <w:multiLevelType w:val="multilevel"/>
    <w:tmpl w:val="118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83664"/>
    <w:multiLevelType w:val="multilevel"/>
    <w:tmpl w:val="B134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F09"/>
    <w:multiLevelType w:val="hybridMultilevel"/>
    <w:tmpl w:val="0D328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E1D4E"/>
    <w:multiLevelType w:val="multilevel"/>
    <w:tmpl w:val="040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36C06"/>
    <w:multiLevelType w:val="multilevel"/>
    <w:tmpl w:val="CD0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E2995"/>
    <w:multiLevelType w:val="hybridMultilevel"/>
    <w:tmpl w:val="F7344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A964C6"/>
    <w:multiLevelType w:val="hybridMultilevel"/>
    <w:tmpl w:val="95BCF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DB6CEE"/>
    <w:multiLevelType w:val="hybridMultilevel"/>
    <w:tmpl w:val="60EA73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B014FF5"/>
    <w:multiLevelType w:val="multilevel"/>
    <w:tmpl w:val="499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45676"/>
    <w:multiLevelType w:val="multilevel"/>
    <w:tmpl w:val="4914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6"/>
  </w:num>
  <w:num w:numId="5">
    <w:abstractNumId w:val="7"/>
  </w:num>
  <w:num w:numId="6">
    <w:abstractNumId w:val="8"/>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AF4"/>
    <w:rsid w:val="00045997"/>
    <w:rsid w:val="0004775A"/>
    <w:rsid w:val="000568C9"/>
    <w:rsid w:val="00073D5C"/>
    <w:rsid w:val="00074879"/>
    <w:rsid w:val="00085CBA"/>
    <w:rsid w:val="000871B0"/>
    <w:rsid w:val="000B1540"/>
    <w:rsid w:val="000E4213"/>
    <w:rsid w:val="000E44B3"/>
    <w:rsid w:val="001075D0"/>
    <w:rsid w:val="00123163"/>
    <w:rsid w:val="00132429"/>
    <w:rsid w:val="00143AF4"/>
    <w:rsid w:val="00192977"/>
    <w:rsid w:val="001A7027"/>
    <w:rsid w:val="001D25B7"/>
    <w:rsid w:val="001E5084"/>
    <w:rsid w:val="001F168E"/>
    <w:rsid w:val="001F381F"/>
    <w:rsid w:val="00207F89"/>
    <w:rsid w:val="0021123B"/>
    <w:rsid w:val="00220133"/>
    <w:rsid w:val="002353F4"/>
    <w:rsid w:val="0031277D"/>
    <w:rsid w:val="003316EB"/>
    <w:rsid w:val="00336157"/>
    <w:rsid w:val="00371F40"/>
    <w:rsid w:val="003A3F27"/>
    <w:rsid w:val="003A6968"/>
    <w:rsid w:val="003C4137"/>
    <w:rsid w:val="003E4E3A"/>
    <w:rsid w:val="003E55BC"/>
    <w:rsid w:val="004249FE"/>
    <w:rsid w:val="00440108"/>
    <w:rsid w:val="004403BD"/>
    <w:rsid w:val="00441E76"/>
    <w:rsid w:val="00447B4D"/>
    <w:rsid w:val="00476322"/>
    <w:rsid w:val="004A75F6"/>
    <w:rsid w:val="004B429C"/>
    <w:rsid w:val="004E4F55"/>
    <w:rsid w:val="0050667A"/>
    <w:rsid w:val="0051472D"/>
    <w:rsid w:val="00525A99"/>
    <w:rsid w:val="00556C7D"/>
    <w:rsid w:val="0056697E"/>
    <w:rsid w:val="00586CDC"/>
    <w:rsid w:val="005916BD"/>
    <w:rsid w:val="00591A70"/>
    <w:rsid w:val="005B1129"/>
    <w:rsid w:val="005E4693"/>
    <w:rsid w:val="00607CE7"/>
    <w:rsid w:val="006A054C"/>
    <w:rsid w:val="006B4FC2"/>
    <w:rsid w:val="006C69DC"/>
    <w:rsid w:val="006E0812"/>
    <w:rsid w:val="006E246B"/>
    <w:rsid w:val="006E51F6"/>
    <w:rsid w:val="00726CA8"/>
    <w:rsid w:val="00740497"/>
    <w:rsid w:val="0076762F"/>
    <w:rsid w:val="007B66B8"/>
    <w:rsid w:val="007C76CF"/>
    <w:rsid w:val="007D31C5"/>
    <w:rsid w:val="007E68F6"/>
    <w:rsid w:val="00821714"/>
    <w:rsid w:val="00835F36"/>
    <w:rsid w:val="008C0162"/>
    <w:rsid w:val="008C0D5E"/>
    <w:rsid w:val="008C46AA"/>
    <w:rsid w:val="008D4E24"/>
    <w:rsid w:val="00903A60"/>
    <w:rsid w:val="009200E6"/>
    <w:rsid w:val="00922280"/>
    <w:rsid w:val="00942AA2"/>
    <w:rsid w:val="0098751E"/>
    <w:rsid w:val="00990235"/>
    <w:rsid w:val="0099632A"/>
    <w:rsid w:val="009D0AA3"/>
    <w:rsid w:val="009D3E87"/>
    <w:rsid w:val="009E6450"/>
    <w:rsid w:val="00A32955"/>
    <w:rsid w:val="00A61C61"/>
    <w:rsid w:val="00AC29D1"/>
    <w:rsid w:val="00AC3970"/>
    <w:rsid w:val="00AD6B30"/>
    <w:rsid w:val="00AE4781"/>
    <w:rsid w:val="00B70F09"/>
    <w:rsid w:val="00B72638"/>
    <w:rsid w:val="00C202B3"/>
    <w:rsid w:val="00C27AE9"/>
    <w:rsid w:val="00C4583A"/>
    <w:rsid w:val="00C7163B"/>
    <w:rsid w:val="00C82DA4"/>
    <w:rsid w:val="00CD0886"/>
    <w:rsid w:val="00CF7B16"/>
    <w:rsid w:val="00D14A68"/>
    <w:rsid w:val="00D232CD"/>
    <w:rsid w:val="00D24D2A"/>
    <w:rsid w:val="00DE4421"/>
    <w:rsid w:val="00E1319C"/>
    <w:rsid w:val="00E3678F"/>
    <w:rsid w:val="00E37854"/>
    <w:rsid w:val="00E82549"/>
    <w:rsid w:val="00F161AD"/>
    <w:rsid w:val="00F40029"/>
    <w:rsid w:val="00F43C1F"/>
    <w:rsid w:val="00F54FA9"/>
    <w:rsid w:val="00F71054"/>
    <w:rsid w:val="00FB0B4B"/>
    <w:rsid w:val="00FC0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0FEC"/>
  <w15:docId w15:val="{AAE85050-3216-4B3C-ADBA-E29573A1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85C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143AF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43AF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3AF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43AF4"/>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143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353F4"/>
    <w:pPr>
      <w:ind w:left="720"/>
      <w:contextualSpacing/>
    </w:pPr>
  </w:style>
  <w:style w:type="table" w:styleId="Grigliatabella">
    <w:name w:val="Table Grid"/>
    <w:basedOn w:val="Tabellanormale"/>
    <w:uiPriority w:val="59"/>
    <w:unhideWhenUsed/>
    <w:rsid w:val="0092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85CBA"/>
    <w:rPr>
      <w:rFonts w:asciiTheme="majorHAnsi" w:eastAsiaTheme="majorEastAsia" w:hAnsiTheme="majorHAnsi" w:cstheme="majorBidi"/>
      <w:color w:val="365F91" w:themeColor="accent1" w:themeShade="BF"/>
      <w:sz w:val="32"/>
      <w:szCs w:val="32"/>
    </w:rPr>
  </w:style>
  <w:style w:type="character" w:styleId="Collegamentoipertestuale">
    <w:name w:val="Hyperlink"/>
    <w:basedOn w:val="Carpredefinitoparagrafo"/>
    <w:uiPriority w:val="99"/>
    <w:unhideWhenUsed/>
    <w:rsid w:val="00085CBA"/>
    <w:rPr>
      <w:color w:val="0000FF"/>
      <w:u w:val="single"/>
    </w:rPr>
  </w:style>
  <w:style w:type="character" w:styleId="Enfasicorsivo">
    <w:name w:val="Emphasis"/>
    <w:basedOn w:val="Carpredefinitoparagrafo"/>
    <w:uiPriority w:val="20"/>
    <w:qFormat/>
    <w:rsid w:val="00085CBA"/>
    <w:rPr>
      <w:i/>
      <w:iCs/>
    </w:rPr>
  </w:style>
  <w:style w:type="character" w:styleId="Enfasigrassetto">
    <w:name w:val="Strong"/>
    <w:basedOn w:val="Carpredefinitoparagrafo"/>
    <w:uiPriority w:val="22"/>
    <w:qFormat/>
    <w:rsid w:val="00085CBA"/>
    <w:rPr>
      <w:b/>
      <w:bCs/>
    </w:rPr>
  </w:style>
  <w:style w:type="character" w:customStyle="1" w:styleId="Menzionenonrisolta1">
    <w:name w:val="Menzione non risolta1"/>
    <w:basedOn w:val="Carpredefinitoparagrafo"/>
    <w:uiPriority w:val="99"/>
    <w:semiHidden/>
    <w:unhideWhenUsed/>
    <w:rsid w:val="003A6968"/>
    <w:rPr>
      <w:color w:val="808080"/>
      <w:shd w:val="clear" w:color="auto" w:fill="E6E6E6"/>
    </w:rPr>
  </w:style>
  <w:style w:type="character" w:styleId="Collegamentovisitato">
    <w:name w:val="FollowedHyperlink"/>
    <w:basedOn w:val="Carpredefinitoparagrafo"/>
    <w:uiPriority w:val="99"/>
    <w:semiHidden/>
    <w:unhideWhenUsed/>
    <w:rsid w:val="003A6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5116">
      <w:bodyDiv w:val="1"/>
      <w:marLeft w:val="0"/>
      <w:marRight w:val="0"/>
      <w:marTop w:val="0"/>
      <w:marBottom w:val="0"/>
      <w:divBdr>
        <w:top w:val="none" w:sz="0" w:space="0" w:color="auto"/>
        <w:left w:val="none" w:sz="0" w:space="0" w:color="auto"/>
        <w:bottom w:val="none" w:sz="0" w:space="0" w:color="auto"/>
        <w:right w:val="none" w:sz="0" w:space="0" w:color="auto"/>
      </w:divBdr>
      <w:divsChild>
        <w:div w:id="127207294">
          <w:marLeft w:val="0"/>
          <w:marRight w:val="0"/>
          <w:marTop w:val="0"/>
          <w:marBottom w:val="0"/>
          <w:divBdr>
            <w:top w:val="none" w:sz="0" w:space="0" w:color="auto"/>
            <w:left w:val="none" w:sz="0" w:space="0" w:color="auto"/>
            <w:bottom w:val="none" w:sz="0" w:space="0" w:color="auto"/>
            <w:right w:val="none" w:sz="0" w:space="0" w:color="auto"/>
          </w:divBdr>
          <w:divsChild>
            <w:div w:id="1954825144">
              <w:marLeft w:val="-225"/>
              <w:marRight w:val="-225"/>
              <w:marTop w:val="0"/>
              <w:marBottom w:val="0"/>
              <w:divBdr>
                <w:top w:val="none" w:sz="0" w:space="0" w:color="auto"/>
                <w:left w:val="none" w:sz="0" w:space="0" w:color="auto"/>
                <w:bottom w:val="none" w:sz="0" w:space="0" w:color="auto"/>
                <w:right w:val="none" w:sz="0" w:space="0" w:color="auto"/>
              </w:divBdr>
              <w:divsChild>
                <w:div w:id="1417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2487">
          <w:marLeft w:val="0"/>
          <w:marRight w:val="0"/>
          <w:marTop w:val="0"/>
          <w:marBottom w:val="0"/>
          <w:divBdr>
            <w:top w:val="none" w:sz="0" w:space="0" w:color="auto"/>
            <w:left w:val="none" w:sz="0" w:space="0" w:color="auto"/>
            <w:bottom w:val="none" w:sz="0" w:space="0" w:color="auto"/>
            <w:right w:val="none" w:sz="0" w:space="0" w:color="auto"/>
          </w:divBdr>
          <w:divsChild>
            <w:div w:id="1260219170">
              <w:marLeft w:val="-225"/>
              <w:marRight w:val="-225"/>
              <w:marTop w:val="0"/>
              <w:marBottom w:val="0"/>
              <w:divBdr>
                <w:top w:val="none" w:sz="0" w:space="0" w:color="auto"/>
                <w:left w:val="none" w:sz="0" w:space="0" w:color="auto"/>
                <w:bottom w:val="none" w:sz="0" w:space="0" w:color="auto"/>
                <w:right w:val="none" w:sz="0" w:space="0" w:color="auto"/>
              </w:divBdr>
              <w:divsChild>
                <w:div w:id="7234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331">
          <w:marLeft w:val="0"/>
          <w:marRight w:val="0"/>
          <w:marTop w:val="0"/>
          <w:marBottom w:val="0"/>
          <w:divBdr>
            <w:top w:val="none" w:sz="0" w:space="0" w:color="auto"/>
            <w:left w:val="none" w:sz="0" w:space="0" w:color="auto"/>
            <w:bottom w:val="none" w:sz="0" w:space="0" w:color="auto"/>
            <w:right w:val="none" w:sz="0" w:space="0" w:color="auto"/>
          </w:divBdr>
          <w:divsChild>
            <w:div w:id="1463576386">
              <w:marLeft w:val="-225"/>
              <w:marRight w:val="-225"/>
              <w:marTop w:val="0"/>
              <w:marBottom w:val="0"/>
              <w:divBdr>
                <w:top w:val="none" w:sz="0" w:space="0" w:color="auto"/>
                <w:left w:val="none" w:sz="0" w:space="0" w:color="auto"/>
                <w:bottom w:val="none" w:sz="0" w:space="0" w:color="auto"/>
                <w:right w:val="none" w:sz="0" w:space="0" w:color="auto"/>
              </w:divBdr>
              <w:divsChild>
                <w:div w:id="10804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6960">
      <w:bodyDiv w:val="1"/>
      <w:marLeft w:val="0"/>
      <w:marRight w:val="0"/>
      <w:marTop w:val="0"/>
      <w:marBottom w:val="0"/>
      <w:divBdr>
        <w:top w:val="none" w:sz="0" w:space="0" w:color="auto"/>
        <w:left w:val="none" w:sz="0" w:space="0" w:color="auto"/>
        <w:bottom w:val="none" w:sz="0" w:space="0" w:color="auto"/>
        <w:right w:val="none" w:sz="0" w:space="0" w:color="auto"/>
      </w:divBdr>
      <w:divsChild>
        <w:div w:id="1171414825">
          <w:marLeft w:val="-225"/>
          <w:marRight w:val="-225"/>
          <w:marTop w:val="0"/>
          <w:marBottom w:val="0"/>
          <w:divBdr>
            <w:top w:val="none" w:sz="0" w:space="0" w:color="auto"/>
            <w:left w:val="none" w:sz="0" w:space="0" w:color="auto"/>
            <w:bottom w:val="none" w:sz="0" w:space="0" w:color="auto"/>
            <w:right w:val="none" w:sz="0" w:space="0" w:color="auto"/>
          </w:divBdr>
          <w:divsChild>
            <w:div w:id="782697467">
              <w:marLeft w:val="0"/>
              <w:marRight w:val="0"/>
              <w:marTop w:val="0"/>
              <w:marBottom w:val="0"/>
              <w:divBdr>
                <w:top w:val="none" w:sz="0" w:space="0" w:color="auto"/>
                <w:left w:val="none" w:sz="0" w:space="0" w:color="auto"/>
                <w:bottom w:val="none" w:sz="0" w:space="0" w:color="auto"/>
                <w:right w:val="none" w:sz="0" w:space="0" w:color="auto"/>
              </w:divBdr>
            </w:div>
          </w:divsChild>
        </w:div>
        <w:div w:id="248278021">
          <w:marLeft w:val="-225"/>
          <w:marRight w:val="-225"/>
          <w:marTop w:val="0"/>
          <w:marBottom w:val="0"/>
          <w:divBdr>
            <w:top w:val="none" w:sz="0" w:space="0" w:color="auto"/>
            <w:left w:val="none" w:sz="0" w:space="0" w:color="auto"/>
            <w:bottom w:val="none" w:sz="0" w:space="0" w:color="auto"/>
            <w:right w:val="none" w:sz="0" w:space="0" w:color="auto"/>
          </w:divBdr>
          <w:divsChild>
            <w:div w:id="1878545541">
              <w:marLeft w:val="0"/>
              <w:marRight w:val="0"/>
              <w:marTop w:val="0"/>
              <w:marBottom w:val="0"/>
              <w:divBdr>
                <w:top w:val="none" w:sz="0" w:space="0" w:color="auto"/>
                <w:left w:val="none" w:sz="0" w:space="0" w:color="auto"/>
                <w:bottom w:val="none" w:sz="0" w:space="0" w:color="auto"/>
                <w:right w:val="none" w:sz="0" w:space="0" w:color="auto"/>
              </w:divBdr>
              <w:divsChild>
                <w:div w:id="1869098163">
                  <w:marLeft w:val="0"/>
                  <w:marRight w:val="0"/>
                  <w:marTop w:val="0"/>
                  <w:marBottom w:val="0"/>
                  <w:divBdr>
                    <w:top w:val="none" w:sz="0" w:space="0" w:color="auto"/>
                    <w:left w:val="none" w:sz="0" w:space="0" w:color="auto"/>
                    <w:bottom w:val="none" w:sz="0" w:space="0" w:color="auto"/>
                    <w:right w:val="none" w:sz="0" w:space="0" w:color="auto"/>
                  </w:divBdr>
                  <w:divsChild>
                    <w:div w:id="990788508">
                      <w:marLeft w:val="-225"/>
                      <w:marRight w:val="-225"/>
                      <w:marTop w:val="0"/>
                      <w:marBottom w:val="0"/>
                      <w:divBdr>
                        <w:top w:val="none" w:sz="0" w:space="0" w:color="auto"/>
                        <w:left w:val="none" w:sz="0" w:space="0" w:color="auto"/>
                        <w:bottom w:val="none" w:sz="0" w:space="0" w:color="auto"/>
                        <w:right w:val="none" w:sz="0" w:space="0" w:color="auto"/>
                      </w:divBdr>
                      <w:divsChild>
                        <w:div w:id="11168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9234">
                  <w:marLeft w:val="0"/>
                  <w:marRight w:val="0"/>
                  <w:marTop w:val="0"/>
                  <w:marBottom w:val="0"/>
                  <w:divBdr>
                    <w:top w:val="none" w:sz="0" w:space="0" w:color="auto"/>
                    <w:left w:val="none" w:sz="0" w:space="0" w:color="auto"/>
                    <w:bottom w:val="none" w:sz="0" w:space="0" w:color="auto"/>
                    <w:right w:val="none" w:sz="0" w:space="0" w:color="auto"/>
                  </w:divBdr>
                  <w:divsChild>
                    <w:div w:id="1426072726">
                      <w:marLeft w:val="-225"/>
                      <w:marRight w:val="-225"/>
                      <w:marTop w:val="0"/>
                      <w:marBottom w:val="0"/>
                      <w:divBdr>
                        <w:top w:val="none" w:sz="0" w:space="0" w:color="auto"/>
                        <w:left w:val="none" w:sz="0" w:space="0" w:color="auto"/>
                        <w:bottom w:val="none" w:sz="0" w:space="0" w:color="auto"/>
                        <w:right w:val="none" w:sz="0" w:space="0" w:color="auto"/>
                      </w:divBdr>
                      <w:divsChild>
                        <w:div w:id="19689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07714">
                  <w:marLeft w:val="0"/>
                  <w:marRight w:val="0"/>
                  <w:marTop w:val="0"/>
                  <w:marBottom w:val="0"/>
                  <w:divBdr>
                    <w:top w:val="none" w:sz="0" w:space="0" w:color="auto"/>
                    <w:left w:val="none" w:sz="0" w:space="0" w:color="auto"/>
                    <w:bottom w:val="none" w:sz="0" w:space="0" w:color="auto"/>
                    <w:right w:val="none" w:sz="0" w:space="0" w:color="auto"/>
                  </w:divBdr>
                  <w:divsChild>
                    <w:div w:id="1545866654">
                      <w:marLeft w:val="-225"/>
                      <w:marRight w:val="-225"/>
                      <w:marTop w:val="0"/>
                      <w:marBottom w:val="0"/>
                      <w:divBdr>
                        <w:top w:val="none" w:sz="0" w:space="0" w:color="auto"/>
                        <w:left w:val="none" w:sz="0" w:space="0" w:color="auto"/>
                        <w:bottom w:val="none" w:sz="0" w:space="0" w:color="auto"/>
                        <w:right w:val="none" w:sz="0" w:space="0" w:color="auto"/>
                      </w:divBdr>
                      <w:divsChild>
                        <w:div w:id="29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055">
                  <w:marLeft w:val="0"/>
                  <w:marRight w:val="0"/>
                  <w:marTop w:val="0"/>
                  <w:marBottom w:val="0"/>
                  <w:divBdr>
                    <w:top w:val="none" w:sz="0" w:space="0" w:color="auto"/>
                    <w:left w:val="none" w:sz="0" w:space="0" w:color="auto"/>
                    <w:bottom w:val="none" w:sz="0" w:space="0" w:color="auto"/>
                    <w:right w:val="none" w:sz="0" w:space="0" w:color="auto"/>
                  </w:divBdr>
                  <w:divsChild>
                    <w:div w:id="822241010">
                      <w:marLeft w:val="-225"/>
                      <w:marRight w:val="-225"/>
                      <w:marTop w:val="0"/>
                      <w:marBottom w:val="0"/>
                      <w:divBdr>
                        <w:top w:val="none" w:sz="0" w:space="0" w:color="auto"/>
                        <w:left w:val="none" w:sz="0" w:space="0" w:color="auto"/>
                        <w:bottom w:val="none" w:sz="0" w:space="0" w:color="auto"/>
                        <w:right w:val="none" w:sz="0" w:space="0" w:color="auto"/>
                      </w:divBdr>
                      <w:divsChild>
                        <w:div w:id="892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zionline.sanita.fvg.it/prenotazio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9B88-6532-42B6-B02D-325EDE94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1290</Words>
  <Characters>7354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Bortolameazzi Raffaella</dc:creator>
  <cp:lastModifiedBy>AOUUD</cp:lastModifiedBy>
  <cp:revision>13</cp:revision>
  <dcterms:created xsi:type="dcterms:W3CDTF">2020-04-07T08:42:00Z</dcterms:created>
  <dcterms:modified xsi:type="dcterms:W3CDTF">2020-04-16T10:26:00Z</dcterms:modified>
</cp:coreProperties>
</file>